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8B5" w:rsidRPr="00B918B5" w:rsidRDefault="00B918B5" w:rsidP="00B918B5">
      <w:pPr>
        <w:widowControl w:val="0"/>
        <w:pBdr>
          <w:top w:val="nil"/>
          <w:left w:val="nil"/>
          <w:bottom w:val="nil"/>
          <w:right w:val="nil"/>
          <w:between w:val="nil"/>
        </w:pBdr>
        <w:rPr>
          <w:color w:val="000000"/>
          <w:lang w:val="uk-UA"/>
        </w:rPr>
      </w:pPr>
    </w:p>
    <w:p w:rsidR="00B918B5" w:rsidRPr="00B918B5" w:rsidRDefault="00B918B5" w:rsidP="00B918B5">
      <w:pPr>
        <w:spacing w:before="360" w:after="60"/>
        <w:jc w:val="center"/>
        <w:rPr>
          <w:rFonts w:ascii="AcademyC" w:eastAsia="Calibri" w:hAnsi="AcademyC" w:cs="Calibri"/>
          <w:b/>
          <w:color w:val="002060"/>
          <w:lang w:val="uk-UA" w:eastAsia="en-US"/>
        </w:rPr>
      </w:pPr>
      <w:r w:rsidRPr="00B918B5">
        <w:rPr>
          <w:rFonts w:ascii="Times New Roman" w:eastAsia="Calibri" w:hAnsi="Times New Roman" w:cs="Calibri"/>
          <w:noProof/>
          <w:sz w:val="28"/>
          <w:lang w:val="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B918B5">
        <w:rPr>
          <w:rFonts w:ascii="AcademyC" w:eastAsia="Calibri" w:hAnsi="AcademyC" w:cs="Calibri"/>
          <w:b/>
          <w:color w:val="002060"/>
          <w:lang w:val="uk-UA" w:eastAsia="en-US"/>
        </w:rPr>
        <w:t>УКРАЇНА</w:t>
      </w:r>
    </w:p>
    <w:p w:rsidR="00B918B5" w:rsidRPr="00B918B5" w:rsidRDefault="00B918B5" w:rsidP="00B918B5">
      <w:pPr>
        <w:spacing w:after="60"/>
        <w:jc w:val="center"/>
        <w:rPr>
          <w:rFonts w:ascii="AcademyC" w:eastAsia="Calibri" w:hAnsi="AcademyC" w:cs="Calibri"/>
          <w:b/>
          <w:color w:val="002060"/>
          <w:sz w:val="28"/>
          <w:lang w:val="uk-UA" w:eastAsia="en-US"/>
        </w:rPr>
      </w:pPr>
      <w:r w:rsidRPr="00B918B5">
        <w:rPr>
          <w:rFonts w:ascii="AcademyC" w:eastAsia="Calibri" w:hAnsi="AcademyC" w:cs="Calibri"/>
          <w:b/>
          <w:color w:val="002060"/>
          <w:sz w:val="28"/>
          <w:lang w:val="uk-UA" w:eastAsia="en-US"/>
        </w:rPr>
        <w:t>ВИЩА  РАДА  ПРАВОСУДДЯ</w:t>
      </w:r>
    </w:p>
    <w:p w:rsidR="00B918B5" w:rsidRPr="00B918B5" w:rsidRDefault="00B918B5" w:rsidP="00B918B5">
      <w:pPr>
        <w:spacing w:after="240"/>
        <w:jc w:val="center"/>
        <w:rPr>
          <w:rFonts w:ascii="AcademyC" w:eastAsia="Calibri" w:hAnsi="AcademyC" w:cs="Calibri"/>
          <w:b/>
          <w:color w:val="002060"/>
          <w:sz w:val="28"/>
          <w:lang w:val="uk-UA" w:eastAsia="en-US"/>
        </w:rPr>
      </w:pPr>
      <w:r w:rsidRPr="00B918B5">
        <w:rPr>
          <w:rFonts w:ascii="AcademyC" w:eastAsia="Calibri" w:hAnsi="AcademyC" w:cs="Calibri"/>
          <w:b/>
          <w:color w:val="002060"/>
          <w:sz w:val="28"/>
          <w:lang w:val="uk-UA" w:eastAsia="en-US"/>
        </w:rPr>
        <w:t>РІШЕННЯ</w:t>
      </w:r>
    </w:p>
    <w:tbl>
      <w:tblPr>
        <w:tblW w:w="12672" w:type="dxa"/>
        <w:tblLook w:val="04A0"/>
      </w:tblPr>
      <w:tblGrid>
        <w:gridCol w:w="3369"/>
        <w:gridCol w:w="3543"/>
        <w:gridCol w:w="5760"/>
      </w:tblGrid>
      <w:tr w:rsidR="00B918B5" w:rsidRPr="00B918B5" w:rsidTr="00375094">
        <w:trPr>
          <w:trHeight w:val="188"/>
        </w:trPr>
        <w:tc>
          <w:tcPr>
            <w:tcW w:w="3369" w:type="dxa"/>
            <w:hideMark/>
          </w:tcPr>
          <w:p w:rsidR="00B918B5" w:rsidRPr="00B918B5" w:rsidRDefault="00B918B5" w:rsidP="00B918B5">
            <w:pPr>
              <w:spacing w:after="200"/>
              <w:ind w:right="-2"/>
              <w:rPr>
                <w:rFonts w:ascii="Times New Roman" w:eastAsia="Calibri" w:hAnsi="Times New Roman" w:cs="Calibri"/>
                <w:b/>
                <w:noProof/>
                <w:color w:val="000000"/>
                <w:sz w:val="27"/>
                <w:szCs w:val="27"/>
                <w:lang w:val="uk-UA" w:eastAsia="en-US"/>
              </w:rPr>
            </w:pPr>
          </w:p>
          <w:p w:rsidR="00B918B5" w:rsidRPr="00B918B5" w:rsidRDefault="00602283" w:rsidP="00B918B5">
            <w:pPr>
              <w:spacing w:after="200"/>
              <w:ind w:right="-2"/>
              <w:rPr>
                <w:rFonts w:ascii="Times New Roman" w:eastAsia="Calibri" w:hAnsi="Times New Roman" w:cs="Calibri"/>
                <w:b/>
                <w:noProof/>
                <w:color w:val="000000"/>
                <w:sz w:val="27"/>
                <w:szCs w:val="27"/>
                <w:lang w:val="uk-UA" w:eastAsia="en-US"/>
              </w:rPr>
            </w:pPr>
            <w:r>
              <w:rPr>
                <w:rFonts w:ascii="Times New Roman" w:eastAsia="Calibri" w:hAnsi="Times New Roman" w:cs="Calibri"/>
                <w:b/>
                <w:noProof/>
                <w:color w:val="000000"/>
                <w:sz w:val="27"/>
                <w:szCs w:val="27"/>
                <w:lang w:val="uk-UA" w:eastAsia="en-US"/>
              </w:rPr>
              <w:t>10 липня</w:t>
            </w:r>
            <w:r w:rsidR="00B918B5" w:rsidRPr="00B918B5">
              <w:rPr>
                <w:rFonts w:ascii="Times New Roman" w:eastAsia="Calibri" w:hAnsi="Times New Roman" w:cs="Calibri"/>
                <w:b/>
                <w:noProof/>
                <w:color w:val="000000"/>
                <w:sz w:val="27"/>
                <w:szCs w:val="27"/>
                <w:lang w:val="uk-UA" w:eastAsia="en-US"/>
              </w:rPr>
              <w:t xml:space="preserve"> 2020 року </w:t>
            </w:r>
          </w:p>
        </w:tc>
        <w:tc>
          <w:tcPr>
            <w:tcW w:w="3543" w:type="dxa"/>
            <w:hideMark/>
          </w:tcPr>
          <w:p w:rsidR="00B918B5" w:rsidRPr="00B918B5" w:rsidRDefault="00B918B5" w:rsidP="00B918B5">
            <w:pPr>
              <w:spacing w:after="200"/>
              <w:ind w:right="-2" w:hanging="109"/>
              <w:rPr>
                <w:rFonts w:ascii="Times New Roman" w:eastAsia="Calibri" w:hAnsi="Times New Roman" w:cs="Calibri"/>
                <w:b/>
                <w:noProof/>
                <w:color w:val="000000"/>
                <w:sz w:val="27"/>
                <w:szCs w:val="27"/>
                <w:lang w:val="uk-UA" w:eastAsia="en-US"/>
              </w:rPr>
            </w:pPr>
            <w:r>
              <w:rPr>
                <w:rFonts w:ascii="Times New Roman" w:eastAsia="Calibri" w:hAnsi="Times New Roman" w:cs="Calibri"/>
                <w:b/>
                <w:color w:val="000000"/>
                <w:sz w:val="27"/>
                <w:szCs w:val="27"/>
                <w:lang w:val="uk-UA" w:eastAsia="en-US"/>
              </w:rPr>
              <w:t xml:space="preserve">           </w:t>
            </w:r>
            <w:r w:rsidRPr="00B918B5">
              <w:rPr>
                <w:rFonts w:ascii="Times New Roman" w:eastAsia="Calibri" w:hAnsi="Times New Roman" w:cs="Calibri"/>
                <w:b/>
                <w:color w:val="000000"/>
                <w:sz w:val="27"/>
                <w:szCs w:val="27"/>
                <w:lang w:val="uk-UA" w:eastAsia="en-US"/>
              </w:rPr>
              <w:t>Київ</w:t>
            </w:r>
          </w:p>
        </w:tc>
        <w:tc>
          <w:tcPr>
            <w:tcW w:w="5760" w:type="dxa"/>
            <w:hideMark/>
          </w:tcPr>
          <w:p w:rsidR="00B918B5" w:rsidRPr="00B918B5" w:rsidRDefault="00B918B5" w:rsidP="00B918B5">
            <w:pPr>
              <w:spacing w:after="200"/>
              <w:ind w:left="459" w:right="-2"/>
              <w:rPr>
                <w:rFonts w:ascii="Times New Roman" w:eastAsia="Calibri" w:hAnsi="Times New Roman" w:cs="Calibri"/>
                <w:b/>
                <w:color w:val="000000"/>
                <w:sz w:val="27"/>
                <w:szCs w:val="27"/>
                <w:lang w:val="uk-UA" w:eastAsia="en-US"/>
              </w:rPr>
            </w:pPr>
            <w:r w:rsidRPr="00B918B5">
              <w:rPr>
                <w:rFonts w:ascii="Times New Roman" w:eastAsia="Calibri" w:hAnsi="Times New Roman" w:cs="Calibri"/>
                <w:b/>
                <w:color w:val="000000"/>
                <w:sz w:val="27"/>
                <w:szCs w:val="27"/>
                <w:lang w:val="uk-UA" w:eastAsia="en-US"/>
              </w:rPr>
              <w:t xml:space="preserve">      </w:t>
            </w:r>
          </w:p>
          <w:p w:rsidR="00B918B5" w:rsidRPr="00B918B5" w:rsidRDefault="00B918B5" w:rsidP="00602283">
            <w:pPr>
              <w:spacing w:after="200"/>
              <w:ind w:left="459" w:right="-2"/>
              <w:rPr>
                <w:rFonts w:ascii="Times New Roman" w:eastAsia="Calibri" w:hAnsi="Times New Roman" w:cs="Calibri"/>
                <w:b/>
                <w:noProof/>
                <w:color w:val="000000"/>
                <w:sz w:val="27"/>
                <w:szCs w:val="27"/>
                <w:lang w:val="uk-UA" w:eastAsia="en-US"/>
              </w:rPr>
            </w:pPr>
            <w:r w:rsidRPr="00B918B5">
              <w:rPr>
                <w:rFonts w:ascii="Times New Roman" w:eastAsia="Calibri" w:hAnsi="Times New Roman" w:cs="Calibri"/>
                <w:b/>
                <w:color w:val="000000"/>
                <w:sz w:val="27"/>
                <w:szCs w:val="27"/>
                <w:lang w:val="uk-UA" w:eastAsia="en-US"/>
              </w:rPr>
              <w:t xml:space="preserve"> </w:t>
            </w:r>
            <w:r w:rsidR="00DA4696">
              <w:rPr>
                <w:rFonts w:ascii="Times New Roman" w:eastAsia="Calibri" w:hAnsi="Times New Roman" w:cs="Calibri"/>
                <w:b/>
                <w:color w:val="000000"/>
                <w:sz w:val="27"/>
                <w:szCs w:val="27"/>
                <w:lang w:val="uk-UA" w:eastAsia="en-US"/>
              </w:rPr>
              <w:t>№ 2</w:t>
            </w:r>
            <w:r w:rsidR="00602283">
              <w:rPr>
                <w:rFonts w:ascii="Times New Roman" w:eastAsia="Calibri" w:hAnsi="Times New Roman" w:cs="Calibri"/>
                <w:b/>
                <w:color w:val="000000"/>
                <w:sz w:val="27"/>
                <w:szCs w:val="27"/>
                <w:lang w:val="uk-UA" w:eastAsia="en-US"/>
              </w:rPr>
              <w:t>098</w:t>
            </w:r>
            <w:r w:rsidRPr="00B918B5">
              <w:rPr>
                <w:rFonts w:ascii="Times New Roman" w:eastAsia="Calibri" w:hAnsi="Times New Roman" w:cs="Calibri"/>
                <w:b/>
                <w:sz w:val="28"/>
                <w:szCs w:val="28"/>
                <w:lang w:val="uk-UA" w:eastAsia="en-US"/>
              </w:rPr>
              <w:t>/0/15-20</w:t>
            </w:r>
            <w:r w:rsidRPr="00B918B5">
              <w:rPr>
                <w:rFonts w:ascii="Times New Roman" w:eastAsia="Calibri" w:hAnsi="Times New Roman" w:cs="Calibri"/>
                <w:sz w:val="28"/>
                <w:szCs w:val="28"/>
                <w:lang w:val="uk-UA" w:eastAsia="en-US"/>
              </w:rPr>
              <w:t xml:space="preserve">  </w:t>
            </w:r>
          </w:p>
        </w:tc>
      </w:tr>
    </w:tbl>
    <w:p w:rsidR="00602283" w:rsidRDefault="00602283" w:rsidP="00351759">
      <w:pPr>
        <w:tabs>
          <w:tab w:val="left" w:pos="4678"/>
        </w:tabs>
        <w:spacing w:line="240" w:lineRule="auto"/>
        <w:ind w:right="139"/>
        <w:rPr>
          <w:rFonts w:ascii="Times New Roman" w:eastAsia="Times New Roman" w:hAnsi="Times New Roman" w:cs="Times New Roman"/>
          <w:sz w:val="28"/>
          <w:szCs w:val="28"/>
        </w:rPr>
      </w:pPr>
    </w:p>
    <w:tbl>
      <w:tblPr>
        <w:tblW w:w="9747" w:type="dxa"/>
        <w:tblLook w:val="04A0"/>
      </w:tblPr>
      <w:tblGrid>
        <w:gridCol w:w="4395"/>
        <w:gridCol w:w="5352"/>
      </w:tblGrid>
      <w:tr w:rsidR="00602283" w:rsidRPr="00602283" w:rsidTr="002A10BE">
        <w:tc>
          <w:tcPr>
            <w:tcW w:w="4395" w:type="dxa"/>
            <w:hideMark/>
          </w:tcPr>
          <w:p w:rsidR="00602283" w:rsidRPr="00602283" w:rsidRDefault="00602283" w:rsidP="00602283">
            <w:pPr>
              <w:tabs>
                <w:tab w:val="left" w:pos="709"/>
              </w:tabs>
              <w:spacing w:line="240" w:lineRule="auto"/>
              <w:ind w:right="459"/>
              <w:jc w:val="both"/>
              <w:rPr>
                <w:rFonts w:ascii="Times New Roman" w:eastAsia="Calibri" w:hAnsi="Times New Roman" w:cs="Calibri"/>
                <w:b/>
                <w:sz w:val="24"/>
                <w:szCs w:val="24"/>
                <w:lang w:val="uk-UA" w:eastAsia="en-US"/>
              </w:rPr>
            </w:pPr>
          </w:p>
          <w:p w:rsidR="00602283" w:rsidRPr="00602283" w:rsidRDefault="00602283" w:rsidP="00602283">
            <w:pPr>
              <w:tabs>
                <w:tab w:val="left" w:pos="709"/>
              </w:tabs>
              <w:spacing w:line="240" w:lineRule="auto"/>
              <w:ind w:right="459"/>
              <w:jc w:val="both"/>
              <w:rPr>
                <w:rFonts w:ascii="Times New Roman" w:eastAsia="Calibri" w:hAnsi="Times New Roman" w:cs="Calibri"/>
                <w:sz w:val="28"/>
                <w:szCs w:val="28"/>
                <w:lang w:val="ru-RU" w:eastAsia="en-US"/>
              </w:rPr>
            </w:pPr>
            <w:r w:rsidRPr="00602283">
              <w:rPr>
                <w:rFonts w:ascii="Times New Roman" w:eastAsia="Calibri" w:hAnsi="Times New Roman" w:cs="Calibri"/>
                <w:b/>
                <w:sz w:val="24"/>
                <w:szCs w:val="24"/>
                <w:lang w:val="uk-UA" w:eastAsia="en-US"/>
              </w:rPr>
              <w:t xml:space="preserve">Про </w:t>
            </w:r>
            <w:r w:rsidRPr="00602283">
              <w:rPr>
                <w:rFonts w:ascii="Times New Roman" w:eastAsia="Calibri" w:hAnsi="Times New Roman" w:cs="Times New Roman"/>
                <w:b/>
                <w:sz w:val="24"/>
                <w:szCs w:val="24"/>
                <w:lang w:val="uk-UA" w:eastAsia="en-US"/>
              </w:rPr>
              <w:t>затвердження попередньої позиції Вищої ради правосуддя</w:t>
            </w:r>
            <w:r w:rsidRPr="00602283">
              <w:rPr>
                <w:rFonts w:ascii="Times New Roman" w:eastAsia="Lucida Sans Unicode" w:hAnsi="Times New Roman" w:cs="Times New Roman"/>
                <w:kern w:val="2"/>
                <w:sz w:val="28"/>
                <w:szCs w:val="28"/>
                <w:lang w:val="ru-RU" w:eastAsia="hi-IN" w:bidi="hi-IN"/>
              </w:rPr>
              <w:t xml:space="preserve"> </w:t>
            </w:r>
            <w:proofErr w:type="spellStart"/>
            <w:r w:rsidRPr="00602283">
              <w:rPr>
                <w:rFonts w:ascii="Times New Roman" w:eastAsia="Calibri" w:hAnsi="Times New Roman" w:cs="Times New Roman"/>
                <w:b/>
                <w:sz w:val="24"/>
                <w:szCs w:val="24"/>
                <w:lang w:val="ru-RU" w:eastAsia="en-US"/>
              </w:rPr>
              <w:t>щодо</w:t>
            </w:r>
            <w:proofErr w:type="spellEnd"/>
            <w:r w:rsidRPr="00602283">
              <w:rPr>
                <w:rFonts w:ascii="Times New Roman" w:eastAsia="Calibri" w:hAnsi="Times New Roman" w:cs="Times New Roman"/>
                <w:b/>
                <w:sz w:val="24"/>
                <w:szCs w:val="24"/>
                <w:lang w:val="ru-RU" w:eastAsia="en-US"/>
              </w:rPr>
              <w:t xml:space="preserve"> </w:t>
            </w:r>
            <w:proofErr w:type="spellStart"/>
            <w:r w:rsidRPr="00602283">
              <w:rPr>
                <w:rFonts w:ascii="Times New Roman" w:eastAsia="Calibri" w:hAnsi="Times New Roman" w:cs="Times New Roman"/>
                <w:b/>
                <w:sz w:val="24"/>
                <w:szCs w:val="24"/>
                <w:lang w:val="ru-RU" w:eastAsia="en-US"/>
              </w:rPr>
              <w:t>проєкту</w:t>
            </w:r>
            <w:proofErr w:type="spellEnd"/>
            <w:r w:rsidRPr="00602283">
              <w:rPr>
                <w:rFonts w:ascii="Times New Roman" w:eastAsia="Calibri" w:hAnsi="Times New Roman" w:cs="Times New Roman"/>
                <w:b/>
                <w:sz w:val="24"/>
                <w:szCs w:val="24"/>
                <w:lang w:val="ru-RU" w:eastAsia="en-US"/>
              </w:rPr>
              <w:t xml:space="preserve"> </w:t>
            </w:r>
            <w:proofErr w:type="spellStart"/>
            <w:r w:rsidRPr="00602283">
              <w:rPr>
                <w:rFonts w:ascii="Times New Roman" w:eastAsia="Calibri" w:hAnsi="Times New Roman" w:cs="Times New Roman"/>
                <w:b/>
                <w:sz w:val="24"/>
                <w:szCs w:val="24"/>
                <w:lang w:val="ru-RU" w:eastAsia="en-US"/>
              </w:rPr>
              <w:t>Антикорупційної</w:t>
            </w:r>
            <w:proofErr w:type="spellEnd"/>
            <w:r w:rsidRPr="00602283">
              <w:rPr>
                <w:rFonts w:ascii="Times New Roman" w:eastAsia="Calibri" w:hAnsi="Times New Roman" w:cs="Times New Roman"/>
                <w:b/>
                <w:sz w:val="24"/>
                <w:szCs w:val="24"/>
                <w:lang w:val="ru-RU" w:eastAsia="en-US"/>
              </w:rPr>
              <w:t xml:space="preserve"> </w:t>
            </w:r>
            <w:proofErr w:type="spellStart"/>
            <w:r w:rsidRPr="00602283">
              <w:rPr>
                <w:rFonts w:ascii="Times New Roman" w:eastAsia="Calibri" w:hAnsi="Times New Roman" w:cs="Times New Roman"/>
                <w:b/>
                <w:sz w:val="24"/>
                <w:szCs w:val="24"/>
                <w:lang w:val="ru-RU" w:eastAsia="en-US"/>
              </w:rPr>
              <w:t>стратегії</w:t>
            </w:r>
            <w:proofErr w:type="spellEnd"/>
            <w:r w:rsidRPr="00602283">
              <w:rPr>
                <w:rFonts w:ascii="Times New Roman" w:eastAsia="Calibri" w:hAnsi="Times New Roman" w:cs="Times New Roman"/>
                <w:b/>
                <w:sz w:val="24"/>
                <w:szCs w:val="24"/>
                <w:lang w:val="ru-RU" w:eastAsia="en-US"/>
              </w:rPr>
              <w:t xml:space="preserve"> на 2020–2024 роки</w:t>
            </w:r>
          </w:p>
        </w:tc>
        <w:tc>
          <w:tcPr>
            <w:tcW w:w="5352" w:type="dxa"/>
          </w:tcPr>
          <w:p w:rsidR="00602283" w:rsidRPr="00602283" w:rsidRDefault="00602283" w:rsidP="00602283">
            <w:pPr>
              <w:widowControl w:val="0"/>
              <w:suppressAutoHyphens/>
              <w:ind w:left="-675" w:firstLine="851"/>
              <w:jc w:val="both"/>
              <w:rPr>
                <w:rFonts w:ascii="Times New Roman" w:eastAsia="Lucida Sans Unicode" w:hAnsi="Times New Roman" w:cs="Times New Roman"/>
                <w:b/>
                <w:kern w:val="2"/>
                <w:sz w:val="28"/>
                <w:szCs w:val="28"/>
                <w:lang w:val="uk-UA" w:eastAsia="hi-IN" w:bidi="hi-IN"/>
              </w:rPr>
            </w:pPr>
          </w:p>
        </w:tc>
      </w:tr>
    </w:tbl>
    <w:p w:rsidR="00602283" w:rsidRPr="00602283" w:rsidRDefault="00602283" w:rsidP="00602283">
      <w:pPr>
        <w:spacing w:line="240" w:lineRule="auto"/>
        <w:ind w:firstLine="708"/>
        <w:jc w:val="both"/>
        <w:rPr>
          <w:rFonts w:ascii="Times New Roman" w:eastAsia="Calibri" w:hAnsi="Times New Roman" w:cs="Calibri"/>
          <w:sz w:val="27"/>
          <w:szCs w:val="27"/>
          <w:lang w:val="ru-RU" w:eastAsia="en-US"/>
        </w:rPr>
      </w:pPr>
    </w:p>
    <w:p w:rsidR="00602283" w:rsidRPr="00602283" w:rsidRDefault="00602283" w:rsidP="002A10BE">
      <w:pPr>
        <w:spacing w:line="240" w:lineRule="auto"/>
        <w:ind w:firstLine="533"/>
        <w:jc w:val="both"/>
        <w:rPr>
          <w:rFonts w:ascii="Times New Roman" w:eastAsia="Times New Roman" w:hAnsi="Times New Roman" w:cs="Times New Roman"/>
          <w:sz w:val="28"/>
          <w:szCs w:val="28"/>
          <w:lang w:val="uk-UA"/>
        </w:rPr>
      </w:pPr>
      <w:r w:rsidRPr="00602283">
        <w:rPr>
          <w:rFonts w:ascii="Times New Roman" w:eastAsia="Times New Roman" w:hAnsi="Times New Roman" w:cs="Times New Roman"/>
          <w:sz w:val="28"/>
          <w:szCs w:val="28"/>
          <w:lang w:val="uk-UA"/>
        </w:rPr>
        <w:t xml:space="preserve">Вища рада правосуддя розглянула </w:t>
      </w:r>
      <w:proofErr w:type="spellStart"/>
      <w:r w:rsidRPr="00602283">
        <w:rPr>
          <w:rFonts w:ascii="Times New Roman" w:eastAsia="Times New Roman" w:hAnsi="Times New Roman" w:cs="Times New Roman"/>
          <w:sz w:val="28"/>
          <w:szCs w:val="28"/>
          <w:lang w:val="uk-UA"/>
        </w:rPr>
        <w:t>проєкт</w:t>
      </w:r>
      <w:proofErr w:type="spellEnd"/>
      <w:r w:rsidRPr="00602283">
        <w:rPr>
          <w:rFonts w:ascii="Times New Roman" w:eastAsia="Times New Roman" w:hAnsi="Times New Roman" w:cs="Times New Roman"/>
          <w:sz w:val="28"/>
          <w:szCs w:val="28"/>
          <w:lang w:val="uk-UA"/>
        </w:rPr>
        <w:t xml:space="preserve"> Антикорупційної стратегії на 2020–2024 роки, надісланий листом Національного агентства з питань запобігання корупції від 3 липня 2020 року № 14-06/29401/20, стосовно надання пропозицій  та  зауважень до цього </w:t>
      </w:r>
      <w:proofErr w:type="spellStart"/>
      <w:r w:rsidRPr="00602283">
        <w:rPr>
          <w:rFonts w:ascii="Times New Roman" w:eastAsia="Times New Roman" w:hAnsi="Times New Roman" w:cs="Times New Roman"/>
          <w:sz w:val="28"/>
          <w:szCs w:val="28"/>
          <w:lang w:val="uk-UA"/>
        </w:rPr>
        <w:t>проєкту</w:t>
      </w:r>
      <w:proofErr w:type="spellEnd"/>
      <w:r w:rsidRPr="00602283">
        <w:rPr>
          <w:rFonts w:ascii="Times New Roman" w:eastAsia="Times New Roman" w:hAnsi="Times New Roman" w:cs="Times New Roman"/>
          <w:sz w:val="28"/>
          <w:szCs w:val="28"/>
          <w:lang w:val="uk-UA"/>
        </w:rPr>
        <w:t xml:space="preserve">. </w:t>
      </w:r>
    </w:p>
    <w:p w:rsidR="00602283" w:rsidRPr="00602283" w:rsidRDefault="00602283" w:rsidP="00602283">
      <w:pPr>
        <w:spacing w:line="240" w:lineRule="auto"/>
        <w:ind w:firstLine="709"/>
        <w:jc w:val="both"/>
        <w:rPr>
          <w:rFonts w:ascii="Times New Roman" w:eastAsia="Times New Roman" w:hAnsi="Times New Roman" w:cs="Times New Roman"/>
          <w:sz w:val="28"/>
          <w:szCs w:val="28"/>
          <w:lang w:val="uk-UA"/>
        </w:rPr>
      </w:pPr>
      <w:r w:rsidRPr="00602283">
        <w:rPr>
          <w:rFonts w:ascii="Times New Roman" w:eastAsia="Times New Roman" w:hAnsi="Times New Roman" w:cs="Times New Roman"/>
          <w:sz w:val="28"/>
          <w:szCs w:val="28"/>
          <w:lang w:val="uk-UA"/>
        </w:rPr>
        <w:t>Частиною четвертою статті 18 Закону України «Про запобігання корупції» визначено, що Антикорупційна стратегія реалізується шляхом виконання державної програми, яка розробляється Національним агентством з питань запобігання корупції та затверджується Кабінетом Міністрів України.</w:t>
      </w:r>
    </w:p>
    <w:p w:rsidR="00602283" w:rsidRPr="00602283" w:rsidRDefault="00602283" w:rsidP="00602283">
      <w:pPr>
        <w:spacing w:line="240" w:lineRule="auto"/>
        <w:ind w:firstLine="709"/>
        <w:jc w:val="both"/>
        <w:rPr>
          <w:rFonts w:ascii="Times New Roman" w:eastAsia="Times New Roman" w:hAnsi="Times New Roman" w:cs="Times New Roman"/>
          <w:sz w:val="28"/>
          <w:szCs w:val="28"/>
          <w:lang w:val="uk-UA"/>
        </w:rPr>
      </w:pPr>
      <w:r w:rsidRPr="00602283">
        <w:rPr>
          <w:rFonts w:ascii="Times New Roman" w:eastAsia="Times New Roman" w:hAnsi="Times New Roman" w:cs="Times New Roman"/>
          <w:sz w:val="28"/>
          <w:szCs w:val="28"/>
          <w:lang w:val="uk-UA"/>
        </w:rPr>
        <w:t xml:space="preserve">Повноваження Вищої ради правосуддя визначаються Конституцією України та законами України «Про Вищу раду правосуддя» та «Про судоустрій і статус суддів». </w:t>
      </w:r>
    </w:p>
    <w:p w:rsidR="00602283" w:rsidRPr="00602283" w:rsidRDefault="00602283" w:rsidP="00602283">
      <w:pPr>
        <w:spacing w:line="240" w:lineRule="auto"/>
        <w:ind w:firstLine="709"/>
        <w:jc w:val="both"/>
        <w:rPr>
          <w:rFonts w:ascii="Times New Roman" w:eastAsia="Calibri" w:hAnsi="Times New Roman" w:cs="Times New Roman"/>
          <w:sz w:val="28"/>
          <w:szCs w:val="28"/>
          <w:lang w:val="uk-UA" w:eastAsia="en-US"/>
        </w:rPr>
      </w:pPr>
      <w:r w:rsidRPr="00602283">
        <w:rPr>
          <w:rFonts w:ascii="Times New Roman" w:eastAsia="Calibri" w:hAnsi="Times New Roman" w:cs="Times New Roman"/>
          <w:sz w:val="28"/>
          <w:szCs w:val="28"/>
          <w:lang w:val="uk-UA" w:eastAsia="en-US"/>
        </w:rPr>
        <w:t xml:space="preserve">За результатами розгляду вказаного </w:t>
      </w:r>
      <w:proofErr w:type="spellStart"/>
      <w:r w:rsidRPr="00602283">
        <w:rPr>
          <w:rFonts w:ascii="Times New Roman" w:eastAsia="Calibri" w:hAnsi="Times New Roman" w:cs="Times New Roman"/>
          <w:sz w:val="28"/>
          <w:szCs w:val="28"/>
          <w:lang w:val="uk-UA" w:eastAsia="en-US"/>
        </w:rPr>
        <w:t>проєкту</w:t>
      </w:r>
      <w:proofErr w:type="spellEnd"/>
      <w:r w:rsidRPr="00602283">
        <w:rPr>
          <w:rFonts w:ascii="Times New Roman" w:eastAsia="Calibri" w:hAnsi="Times New Roman" w:cs="Times New Roman"/>
          <w:sz w:val="28"/>
          <w:szCs w:val="28"/>
          <w:lang w:val="uk-UA" w:eastAsia="en-US"/>
        </w:rPr>
        <w:t xml:space="preserve">, керуючись статтею 131 Конституції України, статтями 3, 34 Закону України «Про Вищу раду правосуддя», Вища рада правосуддя </w:t>
      </w:r>
    </w:p>
    <w:p w:rsidR="00602283" w:rsidRPr="00602283" w:rsidRDefault="00602283" w:rsidP="00602283">
      <w:pPr>
        <w:widowControl w:val="0"/>
        <w:suppressAutoHyphens/>
        <w:spacing w:line="240" w:lineRule="auto"/>
        <w:ind w:firstLine="709"/>
        <w:rPr>
          <w:rFonts w:ascii="Times New Roman" w:eastAsia="Lucida Sans Unicode" w:hAnsi="Times New Roman" w:cs="Times New Roman"/>
          <w:b/>
          <w:kern w:val="2"/>
          <w:sz w:val="28"/>
          <w:szCs w:val="28"/>
          <w:lang w:val="ru-RU" w:eastAsia="hi-IN" w:bidi="hi-IN"/>
        </w:rPr>
      </w:pPr>
    </w:p>
    <w:p w:rsidR="00602283" w:rsidRPr="00602283" w:rsidRDefault="00602283" w:rsidP="00602283">
      <w:pPr>
        <w:widowControl w:val="0"/>
        <w:suppressAutoHyphens/>
        <w:spacing w:line="240" w:lineRule="auto"/>
        <w:jc w:val="center"/>
        <w:rPr>
          <w:rFonts w:ascii="Times New Roman" w:eastAsia="Lucida Sans Unicode" w:hAnsi="Times New Roman" w:cs="Times New Roman"/>
          <w:b/>
          <w:kern w:val="2"/>
          <w:sz w:val="28"/>
          <w:szCs w:val="28"/>
          <w:lang w:val="uk-UA" w:eastAsia="hi-IN" w:bidi="hi-IN"/>
        </w:rPr>
      </w:pPr>
      <w:proofErr w:type="spellStart"/>
      <w:r w:rsidRPr="00602283">
        <w:rPr>
          <w:rFonts w:ascii="Times New Roman" w:eastAsia="Lucida Sans Unicode" w:hAnsi="Times New Roman" w:cs="Times New Roman"/>
          <w:b/>
          <w:kern w:val="2"/>
          <w:sz w:val="28"/>
          <w:szCs w:val="28"/>
          <w:lang w:val="ru-RU" w:eastAsia="hi-IN" w:bidi="hi-IN"/>
        </w:rPr>
        <w:t>вирішила</w:t>
      </w:r>
      <w:proofErr w:type="spellEnd"/>
      <w:r w:rsidRPr="00602283">
        <w:rPr>
          <w:rFonts w:ascii="Times New Roman" w:eastAsia="Lucida Sans Unicode" w:hAnsi="Times New Roman" w:cs="Times New Roman"/>
          <w:b/>
          <w:kern w:val="2"/>
          <w:sz w:val="28"/>
          <w:szCs w:val="28"/>
          <w:lang w:val="ru-RU" w:eastAsia="hi-IN" w:bidi="hi-IN"/>
        </w:rPr>
        <w:t>:</w:t>
      </w:r>
    </w:p>
    <w:p w:rsidR="00602283" w:rsidRPr="00602283" w:rsidRDefault="00602283" w:rsidP="00602283">
      <w:pPr>
        <w:widowControl w:val="0"/>
        <w:suppressAutoHyphens/>
        <w:spacing w:line="240" w:lineRule="auto"/>
        <w:ind w:firstLine="709"/>
        <w:jc w:val="center"/>
        <w:rPr>
          <w:rFonts w:ascii="Times New Roman" w:eastAsia="Lucida Sans Unicode" w:hAnsi="Times New Roman" w:cs="Times New Roman"/>
          <w:b/>
          <w:kern w:val="2"/>
          <w:sz w:val="28"/>
          <w:szCs w:val="28"/>
          <w:lang w:val="uk-UA" w:eastAsia="hi-IN" w:bidi="hi-IN"/>
        </w:rPr>
      </w:pPr>
    </w:p>
    <w:p w:rsidR="00602283" w:rsidRPr="00602283" w:rsidRDefault="00602283" w:rsidP="00602283">
      <w:pPr>
        <w:tabs>
          <w:tab w:val="left" w:pos="567"/>
          <w:tab w:val="left" w:pos="709"/>
        </w:tabs>
        <w:spacing w:line="240" w:lineRule="auto"/>
        <w:ind w:firstLine="709"/>
        <w:jc w:val="both"/>
        <w:rPr>
          <w:rFonts w:ascii="Times New Roman" w:eastAsia="Lucida Sans Unicode" w:hAnsi="Times New Roman" w:cs="Times New Roman"/>
          <w:kern w:val="2"/>
          <w:sz w:val="28"/>
          <w:szCs w:val="28"/>
          <w:lang w:val="uk-UA" w:eastAsia="hi-IN" w:bidi="hi-IN"/>
        </w:rPr>
      </w:pPr>
      <w:r w:rsidRPr="00602283">
        <w:rPr>
          <w:rFonts w:ascii="Times New Roman" w:eastAsia="Lucida Sans Unicode" w:hAnsi="Times New Roman" w:cs="Times New Roman"/>
          <w:kern w:val="2"/>
          <w:sz w:val="28"/>
          <w:szCs w:val="28"/>
          <w:lang w:val="uk-UA" w:eastAsia="hi-IN" w:bidi="hi-IN"/>
        </w:rPr>
        <w:t xml:space="preserve">1. Затвердити попередню позицію Вищої ради правосуддя щодо </w:t>
      </w:r>
      <w:proofErr w:type="spellStart"/>
      <w:r w:rsidRPr="00602283">
        <w:rPr>
          <w:rFonts w:ascii="Times New Roman" w:eastAsia="Lucida Sans Unicode" w:hAnsi="Times New Roman" w:cs="Times New Roman"/>
          <w:kern w:val="2"/>
          <w:sz w:val="28"/>
          <w:szCs w:val="28"/>
          <w:lang w:val="uk-UA" w:eastAsia="hi-IN" w:bidi="hi-IN"/>
        </w:rPr>
        <w:t>проєкту</w:t>
      </w:r>
      <w:proofErr w:type="spellEnd"/>
      <w:r w:rsidRPr="00602283">
        <w:rPr>
          <w:rFonts w:ascii="Times New Roman" w:eastAsia="Lucida Sans Unicode" w:hAnsi="Times New Roman" w:cs="Times New Roman"/>
          <w:kern w:val="2"/>
          <w:sz w:val="28"/>
          <w:szCs w:val="28"/>
          <w:lang w:val="uk-UA" w:eastAsia="hi-IN" w:bidi="hi-IN"/>
        </w:rPr>
        <w:t xml:space="preserve"> Антикорупційної стратегії на 2020–2024 роки в порядку консультацій.</w:t>
      </w:r>
    </w:p>
    <w:p w:rsidR="00602283" w:rsidRPr="00602283" w:rsidRDefault="00602283" w:rsidP="00602283">
      <w:pPr>
        <w:tabs>
          <w:tab w:val="left" w:pos="709"/>
          <w:tab w:val="left" w:pos="993"/>
        </w:tabs>
        <w:spacing w:line="240" w:lineRule="auto"/>
        <w:ind w:firstLine="709"/>
        <w:jc w:val="both"/>
        <w:rPr>
          <w:rFonts w:ascii="Times New Roman" w:eastAsia="Times New Roman" w:hAnsi="Times New Roman" w:cs="Times New Roman"/>
          <w:sz w:val="28"/>
          <w:szCs w:val="28"/>
          <w:lang w:val="uk-UA"/>
        </w:rPr>
      </w:pPr>
      <w:r w:rsidRPr="00602283">
        <w:rPr>
          <w:rFonts w:ascii="Times New Roman" w:eastAsia="Times New Roman" w:hAnsi="Times New Roman" w:cs="Times New Roman"/>
          <w:sz w:val="28"/>
          <w:szCs w:val="28"/>
          <w:lang w:val="uk-UA"/>
        </w:rPr>
        <w:t>2. Надіслати попередню позицію Вищої ради правосуддя</w:t>
      </w:r>
      <w:r w:rsidRPr="00602283">
        <w:rPr>
          <w:rFonts w:ascii="Times New Roman" w:eastAsia="Times New Roman" w:hAnsi="Times New Roman" w:cs="Times New Roman"/>
          <w:sz w:val="24"/>
          <w:szCs w:val="24"/>
          <w:lang w:val="uk-UA"/>
        </w:rPr>
        <w:t xml:space="preserve"> </w:t>
      </w:r>
      <w:r w:rsidRPr="00602283">
        <w:rPr>
          <w:rFonts w:ascii="Times New Roman" w:eastAsia="Times New Roman" w:hAnsi="Times New Roman" w:cs="Times New Roman"/>
          <w:sz w:val="28"/>
          <w:szCs w:val="28"/>
          <w:lang w:val="uk-UA"/>
        </w:rPr>
        <w:t xml:space="preserve">щодо </w:t>
      </w:r>
      <w:proofErr w:type="spellStart"/>
      <w:r w:rsidRPr="00602283">
        <w:rPr>
          <w:rFonts w:ascii="Times New Roman" w:eastAsia="Times New Roman" w:hAnsi="Times New Roman" w:cs="Times New Roman"/>
          <w:sz w:val="28"/>
          <w:szCs w:val="28"/>
          <w:lang w:val="uk-UA"/>
        </w:rPr>
        <w:t>проєкту</w:t>
      </w:r>
      <w:proofErr w:type="spellEnd"/>
      <w:r w:rsidRPr="00602283">
        <w:rPr>
          <w:rFonts w:ascii="Times New Roman" w:eastAsia="Times New Roman" w:hAnsi="Times New Roman" w:cs="Times New Roman"/>
          <w:sz w:val="28"/>
          <w:szCs w:val="28"/>
          <w:lang w:val="uk-UA"/>
        </w:rPr>
        <w:t xml:space="preserve"> Антикорупційної стратегії на 2020–2024 роки до Національного агентства з питань запобігання корупції та Кабінету Міністрів України.</w:t>
      </w:r>
    </w:p>
    <w:p w:rsidR="00602283" w:rsidRPr="00602283" w:rsidRDefault="00602283" w:rsidP="00602283">
      <w:pPr>
        <w:tabs>
          <w:tab w:val="left" w:pos="709"/>
        </w:tabs>
        <w:spacing w:line="240" w:lineRule="auto"/>
        <w:ind w:firstLine="709"/>
        <w:jc w:val="both"/>
        <w:rPr>
          <w:rFonts w:ascii="Times New Roman" w:eastAsia="Times New Roman" w:hAnsi="Times New Roman" w:cs="Times New Roman"/>
          <w:sz w:val="28"/>
          <w:szCs w:val="28"/>
          <w:lang w:val="uk-UA"/>
        </w:rPr>
      </w:pPr>
      <w:r w:rsidRPr="00602283">
        <w:rPr>
          <w:rFonts w:ascii="Times New Roman" w:eastAsia="Times New Roman" w:hAnsi="Times New Roman" w:cs="Times New Roman"/>
          <w:sz w:val="28"/>
          <w:szCs w:val="28"/>
          <w:lang w:val="uk-UA"/>
        </w:rPr>
        <w:t xml:space="preserve">3. Започаткувати обговорення </w:t>
      </w:r>
      <w:proofErr w:type="spellStart"/>
      <w:r w:rsidRPr="00602283">
        <w:rPr>
          <w:rFonts w:ascii="Times New Roman" w:eastAsia="Times New Roman" w:hAnsi="Times New Roman" w:cs="Times New Roman"/>
          <w:sz w:val="28"/>
          <w:szCs w:val="28"/>
          <w:lang w:val="uk-UA"/>
        </w:rPr>
        <w:t>проєкту</w:t>
      </w:r>
      <w:proofErr w:type="spellEnd"/>
      <w:r w:rsidRPr="00602283">
        <w:rPr>
          <w:rFonts w:ascii="Times New Roman" w:eastAsia="Times New Roman" w:hAnsi="Times New Roman" w:cs="Times New Roman"/>
          <w:sz w:val="28"/>
          <w:szCs w:val="28"/>
          <w:lang w:val="uk-UA"/>
        </w:rPr>
        <w:t xml:space="preserve"> Антикорупційної стратегії на 2020–2024 роки серед суддівської та професійної спільноти.  </w:t>
      </w:r>
    </w:p>
    <w:p w:rsidR="00602283" w:rsidRPr="00602283" w:rsidRDefault="00602283" w:rsidP="00602283">
      <w:pPr>
        <w:widowControl w:val="0"/>
        <w:tabs>
          <w:tab w:val="left" w:pos="9360"/>
        </w:tabs>
        <w:suppressAutoHyphens/>
        <w:spacing w:line="240" w:lineRule="auto"/>
        <w:ind w:firstLine="851"/>
        <w:jc w:val="both"/>
        <w:rPr>
          <w:rFonts w:ascii="Times New Roman" w:eastAsia="Lucida Sans Unicode" w:hAnsi="Times New Roman" w:cs="Times New Roman"/>
          <w:kern w:val="2"/>
          <w:sz w:val="28"/>
          <w:szCs w:val="28"/>
          <w:lang w:val="uk-UA" w:eastAsia="hi-IN" w:bidi="hi-IN"/>
        </w:rPr>
      </w:pPr>
    </w:p>
    <w:p w:rsidR="00602283" w:rsidRPr="00602283" w:rsidRDefault="00602283" w:rsidP="00602283">
      <w:pPr>
        <w:widowControl w:val="0"/>
        <w:tabs>
          <w:tab w:val="left" w:pos="9360"/>
        </w:tabs>
        <w:suppressAutoHyphens/>
        <w:spacing w:line="240" w:lineRule="auto"/>
        <w:ind w:firstLine="851"/>
        <w:jc w:val="both"/>
        <w:rPr>
          <w:rFonts w:ascii="Times New Roman" w:eastAsia="Lucida Sans Unicode" w:hAnsi="Times New Roman" w:cs="Times New Roman"/>
          <w:kern w:val="2"/>
          <w:sz w:val="28"/>
          <w:szCs w:val="28"/>
          <w:lang w:val="uk-UA" w:eastAsia="hi-IN" w:bidi="hi-IN"/>
        </w:rPr>
      </w:pPr>
    </w:p>
    <w:p w:rsidR="00602283" w:rsidRPr="00602283" w:rsidRDefault="00602283" w:rsidP="00602283">
      <w:pPr>
        <w:spacing w:line="240" w:lineRule="auto"/>
        <w:rPr>
          <w:rFonts w:ascii="Times New Roman" w:eastAsia="Calibri" w:hAnsi="Times New Roman" w:cs="Times New Roman"/>
          <w:b/>
          <w:color w:val="000000"/>
          <w:sz w:val="28"/>
          <w:szCs w:val="28"/>
          <w:lang w:val="uk-UA" w:eastAsia="ar-SA"/>
        </w:rPr>
      </w:pPr>
      <w:r w:rsidRPr="00602283">
        <w:rPr>
          <w:rFonts w:ascii="Times New Roman" w:eastAsia="Calibri" w:hAnsi="Times New Roman" w:cs="Times New Roman"/>
          <w:b/>
          <w:sz w:val="28"/>
          <w:szCs w:val="28"/>
          <w:lang w:val="uk-UA" w:eastAsia="en-US"/>
        </w:rPr>
        <w:t xml:space="preserve">Заступник Голови Вищої ради правосуддя                 О.В. </w:t>
      </w:r>
      <w:proofErr w:type="spellStart"/>
      <w:r w:rsidRPr="00602283">
        <w:rPr>
          <w:rFonts w:ascii="Times New Roman" w:eastAsia="Calibri" w:hAnsi="Times New Roman" w:cs="Times New Roman"/>
          <w:b/>
          <w:sz w:val="28"/>
          <w:szCs w:val="28"/>
          <w:lang w:val="uk-UA" w:eastAsia="en-US"/>
        </w:rPr>
        <w:t>Маловацький</w:t>
      </w:r>
      <w:proofErr w:type="spellEnd"/>
    </w:p>
    <w:p w:rsidR="00EE1275" w:rsidRPr="00EE1275" w:rsidRDefault="00EE1275" w:rsidP="00EE1275">
      <w:pPr>
        <w:tabs>
          <w:tab w:val="left" w:pos="3969"/>
          <w:tab w:val="left" w:pos="4111"/>
        </w:tabs>
        <w:spacing w:line="240" w:lineRule="auto"/>
        <w:ind w:left="3544" w:right="2976"/>
        <w:jc w:val="right"/>
        <w:rPr>
          <w:rFonts w:ascii="Times New Roman" w:eastAsia="Calibri" w:hAnsi="Times New Roman" w:cs="Times New Roman"/>
          <w:b/>
          <w:sz w:val="28"/>
          <w:szCs w:val="28"/>
          <w:lang w:val="uk-UA" w:eastAsia="en-US"/>
        </w:rPr>
      </w:pPr>
      <w:r w:rsidRPr="00EE1275">
        <w:rPr>
          <w:rFonts w:ascii="Times New Roman" w:eastAsia="Calibri" w:hAnsi="Times New Roman" w:cs="Times New Roman"/>
          <w:b/>
          <w:sz w:val="28"/>
          <w:szCs w:val="28"/>
          <w:lang w:val="uk-UA" w:eastAsia="en-US"/>
        </w:rPr>
        <w:lastRenderedPageBreak/>
        <w:t>ЗАТВЕРДЖЕНО</w:t>
      </w:r>
    </w:p>
    <w:p w:rsidR="00EE1275" w:rsidRPr="00EE1275" w:rsidRDefault="00EE1275" w:rsidP="00EE1275">
      <w:pPr>
        <w:tabs>
          <w:tab w:val="left" w:pos="3969"/>
          <w:tab w:val="left" w:pos="4962"/>
        </w:tabs>
        <w:spacing w:line="240" w:lineRule="auto"/>
        <w:ind w:left="3828"/>
        <w:rPr>
          <w:rFonts w:ascii="Times New Roman" w:eastAsia="Calibri" w:hAnsi="Times New Roman" w:cs="Times New Roman"/>
          <w:b/>
          <w:sz w:val="28"/>
          <w:szCs w:val="28"/>
          <w:lang w:val="uk-UA" w:eastAsia="en-US"/>
        </w:rPr>
      </w:pPr>
      <w:r w:rsidRPr="00EE1275">
        <w:rPr>
          <w:rFonts w:ascii="Times New Roman" w:eastAsia="Calibri" w:hAnsi="Times New Roman" w:cs="Times New Roman"/>
          <w:b/>
          <w:sz w:val="28"/>
          <w:szCs w:val="28"/>
          <w:lang w:val="uk-UA" w:eastAsia="en-US"/>
        </w:rPr>
        <w:t xml:space="preserve"> Рішення Вищої ради правосуддя</w:t>
      </w:r>
    </w:p>
    <w:p w:rsidR="00EE1275" w:rsidRPr="00EE1275" w:rsidRDefault="00EE1275" w:rsidP="00EE1275">
      <w:pPr>
        <w:tabs>
          <w:tab w:val="left" w:pos="3969"/>
          <w:tab w:val="left" w:pos="4536"/>
          <w:tab w:val="left" w:pos="4678"/>
          <w:tab w:val="left" w:pos="5103"/>
        </w:tabs>
        <w:spacing w:line="240" w:lineRule="auto"/>
        <w:ind w:left="3544"/>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 xml:space="preserve">     </w:t>
      </w:r>
      <w:r w:rsidRPr="00EE1275">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10</w:t>
      </w:r>
      <w:r w:rsidRPr="00EE1275">
        <w:rPr>
          <w:rFonts w:ascii="Times New Roman" w:eastAsia="Calibri" w:hAnsi="Times New Roman" w:cs="Times New Roman"/>
          <w:b/>
          <w:sz w:val="28"/>
          <w:szCs w:val="28"/>
          <w:lang w:val="uk-UA" w:eastAsia="en-US"/>
        </w:rPr>
        <w:t>»</w:t>
      </w:r>
      <w:r>
        <w:rPr>
          <w:rFonts w:ascii="Times New Roman" w:eastAsia="Calibri" w:hAnsi="Times New Roman" w:cs="Times New Roman"/>
          <w:b/>
          <w:sz w:val="28"/>
          <w:szCs w:val="28"/>
          <w:lang w:val="uk-UA" w:eastAsia="en-US"/>
        </w:rPr>
        <w:t xml:space="preserve"> липня</w:t>
      </w:r>
      <w:r w:rsidRPr="00EE1275">
        <w:rPr>
          <w:rFonts w:ascii="Times New Roman" w:eastAsia="Calibri" w:hAnsi="Times New Roman" w:cs="Times New Roman"/>
          <w:b/>
          <w:sz w:val="28"/>
          <w:szCs w:val="28"/>
          <w:lang w:val="uk-UA" w:eastAsia="en-US"/>
        </w:rPr>
        <w:t xml:space="preserve"> 2020 року № </w:t>
      </w:r>
      <w:r>
        <w:rPr>
          <w:rFonts w:ascii="Times New Roman" w:eastAsia="Calibri" w:hAnsi="Times New Roman" w:cs="Times New Roman"/>
          <w:b/>
          <w:sz w:val="28"/>
          <w:szCs w:val="28"/>
          <w:lang w:val="uk-UA" w:eastAsia="en-US"/>
        </w:rPr>
        <w:t>2098/0/15-20</w:t>
      </w:r>
      <w:r w:rsidRPr="00EE1275">
        <w:rPr>
          <w:rFonts w:ascii="Times New Roman" w:eastAsia="Calibri" w:hAnsi="Times New Roman" w:cs="Times New Roman"/>
          <w:b/>
          <w:sz w:val="28"/>
          <w:szCs w:val="28"/>
          <w:lang w:val="uk-UA" w:eastAsia="en-US"/>
        </w:rPr>
        <w:t xml:space="preserve"> </w:t>
      </w:r>
    </w:p>
    <w:p w:rsidR="00EE1275" w:rsidRPr="00EE1275" w:rsidRDefault="00EE1275" w:rsidP="00EE1275">
      <w:pPr>
        <w:suppressAutoHyphens/>
        <w:spacing w:line="100" w:lineRule="atLeast"/>
        <w:ind w:left="4111" w:firstLine="142"/>
        <w:rPr>
          <w:rFonts w:ascii="Times New Roman" w:eastAsia="Calibri" w:hAnsi="Times New Roman" w:cs="Times New Roman"/>
          <w:b/>
          <w:sz w:val="28"/>
          <w:szCs w:val="28"/>
          <w:lang w:val="uk-UA" w:eastAsia="ar-SA"/>
        </w:rPr>
      </w:pPr>
      <w:r w:rsidRPr="00EE1275">
        <w:rPr>
          <w:rFonts w:ascii="Times New Roman" w:eastAsia="Calibri" w:hAnsi="Times New Roman" w:cs="Times New Roman"/>
          <w:b/>
          <w:sz w:val="28"/>
          <w:szCs w:val="28"/>
          <w:lang w:val="uk-UA" w:eastAsia="ar-SA"/>
        </w:rPr>
        <w:tab/>
      </w:r>
    </w:p>
    <w:p w:rsidR="00EE1275" w:rsidRPr="00EE1275" w:rsidRDefault="00EE1275" w:rsidP="00EE1275">
      <w:pPr>
        <w:suppressAutoHyphens/>
        <w:spacing w:line="100" w:lineRule="atLeast"/>
        <w:jc w:val="both"/>
        <w:rPr>
          <w:rFonts w:ascii="Times New Roman" w:eastAsia="Calibri" w:hAnsi="Times New Roman" w:cs="Times New Roman"/>
          <w:b/>
          <w:sz w:val="28"/>
          <w:szCs w:val="28"/>
          <w:lang w:val="uk-UA" w:eastAsia="ar-SA"/>
        </w:rPr>
      </w:pPr>
    </w:p>
    <w:p w:rsidR="00EE1275" w:rsidRPr="00EE1275" w:rsidRDefault="00EE1275" w:rsidP="00EE1275">
      <w:pPr>
        <w:spacing w:line="240" w:lineRule="auto"/>
        <w:ind w:right="7" w:firstLine="566"/>
        <w:jc w:val="center"/>
        <w:rPr>
          <w:rFonts w:ascii="Times New Roman" w:eastAsia="Calibri" w:hAnsi="Times New Roman" w:cs="Times New Roman"/>
          <w:b/>
          <w:sz w:val="28"/>
          <w:szCs w:val="28"/>
          <w:lang w:val="uk-UA" w:eastAsia="ar-SA"/>
        </w:rPr>
      </w:pPr>
      <w:r w:rsidRPr="00EE1275">
        <w:rPr>
          <w:rFonts w:ascii="Times New Roman" w:eastAsia="Calibri" w:hAnsi="Times New Roman" w:cs="Times New Roman"/>
          <w:b/>
          <w:sz w:val="28"/>
          <w:szCs w:val="28"/>
          <w:lang w:val="uk-UA" w:eastAsia="ar-SA"/>
        </w:rPr>
        <w:t xml:space="preserve">Попередня позиція Вищої ради правосуддя щодо </w:t>
      </w:r>
      <w:proofErr w:type="spellStart"/>
      <w:r w:rsidRPr="00EE1275">
        <w:rPr>
          <w:rFonts w:ascii="Times New Roman" w:eastAsia="Calibri" w:hAnsi="Times New Roman" w:cs="Times New Roman"/>
          <w:b/>
          <w:sz w:val="28"/>
          <w:szCs w:val="28"/>
          <w:lang w:val="uk-UA" w:eastAsia="ar-SA"/>
        </w:rPr>
        <w:t>проєкту</w:t>
      </w:r>
      <w:proofErr w:type="spellEnd"/>
      <w:r w:rsidRPr="00EE1275">
        <w:rPr>
          <w:rFonts w:ascii="Times New Roman" w:eastAsia="Calibri" w:hAnsi="Times New Roman" w:cs="Times New Roman"/>
          <w:b/>
          <w:sz w:val="28"/>
          <w:szCs w:val="28"/>
          <w:lang w:val="uk-UA" w:eastAsia="ar-SA"/>
        </w:rPr>
        <w:t xml:space="preserve"> Антикорупційної стратегії на 2020–2024 роки в порядку консультацій</w:t>
      </w:r>
    </w:p>
    <w:p w:rsidR="00EE1275" w:rsidRPr="00EE1275" w:rsidRDefault="00EE1275" w:rsidP="00EE1275">
      <w:pPr>
        <w:spacing w:line="240" w:lineRule="auto"/>
        <w:ind w:right="7" w:firstLine="566"/>
        <w:jc w:val="center"/>
        <w:rPr>
          <w:rFonts w:ascii="Times New Roman" w:eastAsia="Calibri" w:hAnsi="Times New Roman" w:cs="Times New Roman"/>
          <w:b/>
          <w:sz w:val="28"/>
          <w:szCs w:val="28"/>
          <w:lang w:val="uk-UA" w:eastAsia="ar-SA"/>
        </w:rPr>
      </w:pPr>
    </w:p>
    <w:p w:rsidR="00EE1275" w:rsidRPr="00EE1275" w:rsidRDefault="00EE1275" w:rsidP="00EE1275">
      <w:pPr>
        <w:spacing w:line="240" w:lineRule="auto"/>
        <w:jc w:val="both"/>
        <w:rPr>
          <w:rFonts w:ascii="Times New Roman" w:hAnsi="Times New Roman" w:cs="Times New Roman"/>
          <w:sz w:val="28"/>
          <w:szCs w:val="28"/>
          <w:lang w:val="uk-UA"/>
        </w:rPr>
      </w:pPr>
      <w:r w:rsidRPr="00EE1275">
        <w:rPr>
          <w:rFonts w:ascii="Times New Roman" w:hAnsi="Times New Roman" w:cs="Times New Roman"/>
          <w:sz w:val="28"/>
          <w:szCs w:val="28"/>
          <w:lang w:val="uk-UA"/>
        </w:rPr>
        <w:t xml:space="preserve">До Вищої ради правосуддя 6 липня 2020 року надійшов </w:t>
      </w:r>
      <w:proofErr w:type="spellStart"/>
      <w:r w:rsidRPr="00EE1275">
        <w:rPr>
          <w:rFonts w:ascii="Times New Roman" w:hAnsi="Times New Roman" w:cs="Times New Roman"/>
          <w:sz w:val="28"/>
          <w:szCs w:val="28"/>
          <w:lang w:val="uk-UA"/>
        </w:rPr>
        <w:t>проєкт</w:t>
      </w:r>
      <w:proofErr w:type="spellEnd"/>
      <w:r w:rsidRPr="00EE1275">
        <w:rPr>
          <w:rFonts w:ascii="Times New Roman" w:hAnsi="Times New Roman" w:cs="Times New Roman"/>
          <w:sz w:val="28"/>
          <w:szCs w:val="28"/>
          <w:lang w:val="uk-UA"/>
        </w:rPr>
        <w:t xml:space="preserve"> Антикорупційної стратегії на 2020–2024 роки (далі – </w:t>
      </w:r>
      <w:proofErr w:type="spellStart"/>
      <w:r w:rsidRPr="00EE1275">
        <w:rPr>
          <w:rFonts w:ascii="Times New Roman" w:hAnsi="Times New Roman" w:cs="Times New Roman"/>
          <w:sz w:val="28"/>
          <w:szCs w:val="28"/>
          <w:lang w:val="uk-UA"/>
        </w:rPr>
        <w:t>проєкт</w:t>
      </w:r>
      <w:proofErr w:type="spellEnd"/>
      <w:r w:rsidRPr="00EE1275">
        <w:rPr>
          <w:rFonts w:ascii="Times New Roman" w:hAnsi="Times New Roman" w:cs="Times New Roman"/>
          <w:sz w:val="28"/>
          <w:szCs w:val="28"/>
          <w:lang w:val="uk-UA"/>
        </w:rPr>
        <w:t xml:space="preserve"> Антикорупційної стратегії), підготовлений Національним агентством з питань запобігання корупції (далі – НАЗК, Національне агентство), із пропозицією надати зауваження та пропозиції до цього </w:t>
      </w:r>
      <w:proofErr w:type="spellStart"/>
      <w:r w:rsidRPr="00EE1275">
        <w:rPr>
          <w:rFonts w:ascii="Times New Roman" w:hAnsi="Times New Roman" w:cs="Times New Roman"/>
          <w:sz w:val="28"/>
          <w:szCs w:val="28"/>
          <w:lang w:val="uk-UA"/>
        </w:rPr>
        <w:t>проєкту</w:t>
      </w:r>
      <w:proofErr w:type="spellEnd"/>
      <w:r w:rsidRPr="00EE1275">
        <w:rPr>
          <w:rFonts w:ascii="Times New Roman" w:hAnsi="Times New Roman" w:cs="Times New Roman"/>
          <w:sz w:val="28"/>
          <w:szCs w:val="28"/>
          <w:lang w:val="uk-UA"/>
        </w:rPr>
        <w:t>. Зважаючи на к</w:t>
      </w:r>
      <w:r>
        <w:rPr>
          <w:rFonts w:ascii="Times New Roman" w:hAnsi="Times New Roman" w:cs="Times New Roman"/>
          <w:sz w:val="28"/>
          <w:szCs w:val="28"/>
          <w:lang w:val="uk-UA"/>
        </w:rPr>
        <w:t xml:space="preserve">ороткі терміни для розгляду </w:t>
      </w:r>
      <w:proofErr w:type="spellStart"/>
      <w:r>
        <w:rPr>
          <w:rFonts w:ascii="Times New Roman" w:hAnsi="Times New Roman" w:cs="Times New Roman"/>
          <w:sz w:val="28"/>
          <w:szCs w:val="28"/>
          <w:lang w:val="uk-UA"/>
        </w:rPr>
        <w:t>проє</w:t>
      </w:r>
      <w:r w:rsidRPr="00EE1275">
        <w:rPr>
          <w:rFonts w:ascii="Times New Roman" w:hAnsi="Times New Roman" w:cs="Times New Roman"/>
          <w:sz w:val="28"/>
          <w:szCs w:val="28"/>
          <w:lang w:val="uk-UA"/>
        </w:rPr>
        <w:t>кту</w:t>
      </w:r>
      <w:proofErr w:type="spellEnd"/>
      <w:r w:rsidRPr="00EE1275">
        <w:rPr>
          <w:rFonts w:ascii="Times New Roman" w:hAnsi="Times New Roman" w:cs="Times New Roman"/>
          <w:sz w:val="28"/>
          <w:szCs w:val="28"/>
          <w:lang w:val="uk-UA"/>
        </w:rPr>
        <w:t xml:space="preserve"> Антикорупційної стратегії, Вища рада правосуддя надає попередню позицію щодо вказаного </w:t>
      </w:r>
      <w:proofErr w:type="spellStart"/>
      <w:r w:rsidRPr="00EE1275">
        <w:rPr>
          <w:rFonts w:ascii="Times New Roman" w:hAnsi="Times New Roman" w:cs="Times New Roman"/>
          <w:sz w:val="28"/>
          <w:szCs w:val="28"/>
          <w:lang w:val="uk-UA"/>
        </w:rPr>
        <w:t>проєкту</w:t>
      </w:r>
      <w:proofErr w:type="spellEnd"/>
      <w:r w:rsidRPr="00EE1275">
        <w:rPr>
          <w:rFonts w:ascii="Times New Roman" w:hAnsi="Times New Roman" w:cs="Times New Roman"/>
          <w:sz w:val="28"/>
          <w:szCs w:val="28"/>
          <w:lang w:val="uk-UA"/>
        </w:rPr>
        <w:t xml:space="preserve"> в порядку консультацій, яка після обговорення з суддівською та професійною спільнотою буде доповнена та розширена.</w:t>
      </w:r>
      <w:r w:rsidRPr="00EE1275">
        <w:rPr>
          <w:rFonts w:ascii="Times New Roman" w:hAnsi="Times New Roman" w:cs="Times New Roman"/>
          <w:sz w:val="28"/>
          <w:szCs w:val="28"/>
          <w:lang w:val="uk-UA"/>
        </w:rPr>
        <w:tab/>
      </w:r>
    </w:p>
    <w:p w:rsidR="00EE1275" w:rsidRPr="00EE1275" w:rsidRDefault="00EE1275" w:rsidP="00EE1275">
      <w:pPr>
        <w:spacing w:line="240" w:lineRule="auto"/>
        <w:ind w:firstLine="567"/>
        <w:jc w:val="both"/>
        <w:rPr>
          <w:rFonts w:ascii="Times New Roman" w:hAnsi="Times New Roman" w:cs="Times New Roman"/>
          <w:sz w:val="28"/>
          <w:szCs w:val="28"/>
          <w:lang w:val="uk-UA"/>
        </w:rPr>
      </w:pPr>
      <w:r w:rsidRPr="00EE1275">
        <w:rPr>
          <w:rFonts w:ascii="Times New Roman" w:hAnsi="Times New Roman" w:cs="Times New Roman"/>
          <w:sz w:val="28"/>
          <w:szCs w:val="28"/>
          <w:lang w:val="uk-UA"/>
        </w:rPr>
        <w:t xml:space="preserve">Розглянувши зазначений </w:t>
      </w:r>
      <w:proofErr w:type="spellStart"/>
      <w:r w:rsidRPr="00EE1275">
        <w:rPr>
          <w:rFonts w:ascii="Times New Roman" w:hAnsi="Times New Roman" w:cs="Times New Roman"/>
          <w:sz w:val="28"/>
          <w:szCs w:val="28"/>
          <w:lang w:val="uk-UA"/>
        </w:rPr>
        <w:t>проєкт</w:t>
      </w:r>
      <w:proofErr w:type="spellEnd"/>
      <w:r>
        <w:rPr>
          <w:rFonts w:ascii="Times New Roman" w:hAnsi="Times New Roman" w:cs="Times New Roman"/>
          <w:sz w:val="28"/>
          <w:szCs w:val="28"/>
          <w:lang w:val="uk-UA"/>
        </w:rPr>
        <w:t>,</w:t>
      </w:r>
      <w:r w:rsidRPr="00EE1275">
        <w:rPr>
          <w:rFonts w:ascii="Times New Roman" w:hAnsi="Times New Roman" w:cs="Times New Roman"/>
          <w:sz w:val="28"/>
          <w:szCs w:val="28"/>
          <w:lang w:val="uk-UA"/>
        </w:rPr>
        <w:t xml:space="preserve"> Вища рада правосуддя вважає за доцільне  зазначити таке.</w:t>
      </w:r>
    </w:p>
    <w:p w:rsidR="00EE1275" w:rsidRPr="00EE1275" w:rsidRDefault="00EE1275" w:rsidP="00EE1275">
      <w:pPr>
        <w:spacing w:line="240" w:lineRule="auto"/>
        <w:ind w:firstLine="567"/>
        <w:jc w:val="both"/>
        <w:rPr>
          <w:rFonts w:ascii="Times New Roman" w:hAnsi="Times New Roman" w:cs="Times New Roman"/>
          <w:sz w:val="28"/>
          <w:szCs w:val="28"/>
          <w:lang w:val="uk-UA"/>
        </w:rPr>
      </w:pPr>
    </w:p>
    <w:p w:rsidR="00EE1275" w:rsidRPr="00EE1275" w:rsidRDefault="00EE1275" w:rsidP="00EE1275">
      <w:pPr>
        <w:spacing w:line="240" w:lineRule="auto"/>
        <w:ind w:firstLine="567"/>
        <w:jc w:val="both"/>
        <w:rPr>
          <w:rFonts w:ascii="Times New Roman" w:eastAsia="Times New Roman" w:hAnsi="Times New Roman" w:cs="Times New Roman"/>
          <w:sz w:val="28"/>
          <w:szCs w:val="28"/>
          <w:lang w:val="uk-UA"/>
        </w:rPr>
      </w:pPr>
      <w:r w:rsidRPr="00EE1275">
        <w:rPr>
          <w:rFonts w:ascii="Times New Roman" w:hAnsi="Times New Roman" w:cs="Times New Roman"/>
          <w:sz w:val="28"/>
          <w:szCs w:val="28"/>
          <w:shd w:val="clear" w:color="auto" w:fill="FFFFFF"/>
          <w:lang w:val="uk-UA"/>
        </w:rPr>
        <w:t xml:space="preserve">1. Основні пріоритети державної антикорупційної політики в Україні визначаються у спеціальному нормативному акті – антикорупційній стратегії. НАЗК як центральний орган виконавчої влади зі спеціальним статусом розробляє </w:t>
      </w:r>
      <w:proofErr w:type="spellStart"/>
      <w:r w:rsidRPr="00EE1275">
        <w:rPr>
          <w:rFonts w:ascii="Times New Roman" w:hAnsi="Times New Roman" w:cs="Times New Roman"/>
          <w:sz w:val="28"/>
          <w:szCs w:val="28"/>
          <w:shd w:val="clear" w:color="auto" w:fill="FFFFFF"/>
          <w:lang w:val="uk-UA"/>
        </w:rPr>
        <w:t>проєкт</w:t>
      </w:r>
      <w:proofErr w:type="spellEnd"/>
      <w:r w:rsidRPr="00EE1275">
        <w:rPr>
          <w:rFonts w:ascii="Times New Roman" w:hAnsi="Times New Roman" w:cs="Times New Roman"/>
          <w:sz w:val="28"/>
          <w:szCs w:val="28"/>
          <w:shd w:val="clear" w:color="auto" w:fill="FFFFFF"/>
          <w:lang w:val="uk-UA"/>
        </w:rPr>
        <w:t xml:space="preserve"> антикорупційної стратегії та державну програму щодо її виконання, що затверджується Кабінетом Міністрів України, та проводить аналіз стану запобігання та протидії корупції в державі, </w:t>
      </w:r>
      <w:r w:rsidRPr="00EE1275">
        <w:rPr>
          <w:rFonts w:ascii="Times New Roman" w:eastAsia="Times New Roman" w:hAnsi="Times New Roman" w:cs="Times New Roman"/>
          <w:sz w:val="28"/>
          <w:szCs w:val="28"/>
          <w:lang w:val="uk-UA"/>
        </w:rPr>
        <w:t>діяльності державних органів</w:t>
      </w:r>
      <w:bookmarkStart w:id="0" w:name="n163"/>
      <w:bookmarkEnd w:id="0"/>
      <w:r w:rsidRPr="00EE1275">
        <w:rPr>
          <w:rFonts w:ascii="Times New Roman" w:eastAsia="Times New Roman" w:hAnsi="Times New Roman" w:cs="Times New Roman"/>
          <w:sz w:val="28"/>
          <w:szCs w:val="28"/>
          <w:lang w:val="uk-UA"/>
        </w:rPr>
        <w:t xml:space="preserve">, статистичних даних, результатів досліджень та іншої інформації стосовно ситуації щодо корупції тощо (стаття 11 Закону України «Про запобігання корупції» від 14 жовтня 2014 року № </w:t>
      </w:r>
      <w:r w:rsidRPr="00EE1275">
        <w:rPr>
          <w:rFonts w:ascii="Times New Roman" w:hAnsi="Times New Roman" w:cs="Times New Roman"/>
          <w:bCs/>
          <w:sz w:val="28"/>
          <w:szCs w:val="28"/>
          <w:shd w:val="clear" w:color="auto" w:fill="FFFFFF"/>
          <w:lang w:val="uk-UA"/>
        </w:rPr>
        <w:t xml:space="preserve">1700-VII (далі – Закон </w:t>
      </w:r>
      <w:r w:rsidRPr="00EE1275">
        <w:rPr>
          <w:rFonts w:ascii="Times New Roman" w:eastAsia="Times New Roman" w:hAnsi="Times New Roman" w:cs="Times New Roman"/>
          <w:sz w:val="28"/>
          <w:szCs w:val="28"/>
          <w:lang w:val="uk-UA"/>
        </w:rPr>
        <w:t xml:space="preserve">№ </w:t>
      </w:r>
      <w:r w:rsidRPr="00EE1275">
        <w:rPr>
          <w:rFonts w:ascii="Times New Roman" w:hAnsi="Times New Roman" w:cs="Times New Roman"/>
          <w:bCs/>
          <w:sz w:val="28"/>
          <w:szCs w:val="28"/>
          <w:shd w:val="clear" w:color="auto" w:fill="FFFFFF"/>
          <w:lang w:val="uk-UA"/>
        </w:rPr>
        <w:t>1700-VII)</w:t>
      </w:r>
      <w:r>
        <w:rPr>
          <w:rFonts w:ascii="Times New Roman" w:hAnsi="Times New Roman" w:cs="Times New Roman"/>
          <w:bCs/>
          <w:sz w:val="28"/>
          <w:szCs w:val="28"/>
          <w:shd w:val="clear" w:color="auto" w:fill="FFFFFF"/>
          <w:lang w:val="uk-UA"/>
        </w:rPr>
        <w:t>)</w:t>
      </w:r>
      <w:r w:rsidRPr="00EE1275">
        <w:rPr>
          <w:rFonts w:ascii="Times New Roman" w:eastAsia="Times New Roman" w:hAnsi="Times New Roman" w:cs="Times New Roman"/>
          <w:sz w:val="28"/>
          <w:szCs w:val="28"/>
          <w:lang w:val="uk-UA"/>
        </w:rPr>
        <w:t xml:space="preserve">. </w:t>
      </w:r>
    </w:p>
    <w:p w:rsidR="00EE1275" w:rsidRPr="00EE1275" w:rsidRDefault="00EE1275" w:rsidP="00EE1275">
      <w:pPr>
        <w:spacing w:line="240" w:lineRule="auto"/>
        <w:ind w:firstLine="567"/>
        <w:jc w:val="both"/>
        <w:rPr>
          <w:rFonts w:ascii="Times New Roman" w:hAnsi="Times New Roman" w:cs="Times New Roman"/>
          <w:sz w:val="28"/>
          <w:szCs w:val="28"/>
          <w:shd w:val="clear" w:color="auto" w:fill="FFFFFF"/>
          <w:lang w:val="uk-UA"/>
        </w:rPr>
      </w:pPr>
      <w:r w:rsidRPr="00EE1275">
        <w:rPr>
          <w:rFonts w:ascii="Times New Roman" w:hAnsi="Times New Roman" w:cs="Times New Roman"/>
          <w:sz w:val="28"/>
          <w:szCs w:val="28"/>
          <w:shd w:val="clear" w:color="auto" w:fill="FFFFFF"/>
          <w:lang w:val="uk-UA"/>
        </w:rPr>
        <w:t xml:space="preserve">Відповідно до частини третьої статті 18 </w:t>
      </w:r>
      <w:r w:rsidRPr="00EE1275">
        <w:rPr>
          <w:rFonts w:ascii="Times New Roman" w:hAnsi="Times New Roman" w:cs="Times New Roman"/>
          <w:bCs/>
          <w:sz w:val="28"/>
          <w:szCs w:val="28"/>
          <w:shd w:val="clear" w:color="auto" w:fill="FFFFFF"/>
          <w:lang w:val="uk-UA"/>
        </w:rPr>
        <w:t xml:space="preserve">Закону </w:t>
      </w:r>
      <w:r w:rsidRPr="00EE1275">
        <w:rPr>
          <w:rFonts w:ascii="Times New Roman" w:eastAsia="Times New Roman" w:hAnsi="Times New Roman" w:cs="Times New Roman"/>
          <w:sz w:val="28"/>
          <w:szCs w:val="28"/>
          <w:lang w:val="uk-UA"/>
        </w:rPr>
        <w:t xml:space="preserve">№ </w:t>
      </w:r>
      <w:r w:rsidRPr="00EE1275">
        <w:rPr>
          <w:rFonts w:ascii="Times New Roman" w:hAnsi="Times New Roman" w:cs="Times New Roman"/>
          <w:bCs/>
          <w:sz w:val="28"/>
          <w:szCs w:val="28"/>
          <w:shd w:val="clear" w:color="auto" w:fill="FFFFFF"/>
          <w:lang w:val="uk-UA"/>
        </w:rPr>
        <w:t>1700-VII</w:t>
      </w:r>
      <w:r w:rsidRPr="00EE1275" w:rsidDel="00847079">
        <w:rPr>
          <w:rFonts w:ascii="Times New Roman" w:hAnsi="Times New Roman" w:cs="Times New Roman"/>
          <w:sz w:val="28"/>
          <w:szCs w:val="28"/>
          <w:shd w:val="clear" w:color="auto" w:fill="FFFFFF"/>
          <w:lang w:val="uk-UA"/>
        </w:rPr>
        <w:t xml:space="preserve"> </w:t>
      </w:r>
      <w:r w:rsidRPr="00EE1275">
        <w:rPr>
          <w:rFonts w:ascii="Times New Roman" w:hAnsi="Times New Roman" w:cs="Times New Roman"/>
          <w:sz w:val="28"/>
          <w:szCs w:val="28"/>
          <w:shd w:val="clear" w:color="auto" w:fill="FFFFFF"/>
          <w:lang w:val="uk-UA"/>
        </w:rPr>
        <w:t xml:space="preserve"> антикорупційна стратегія розробляється Національним агентством на основі аналізу ситуації щодо корупції, а також результатів виконання попередньої антикорупційної стратегії.</w:t>
      </w:r>
    </w:p>
    <w:p w:rsidR="00EE1275" w:rsidRPr="00EE1275" w:rsidRDefault="00EE1275" w:rsidP="00EE1275">
      <w:pPr>
        <w:shd w:val="clear" w:color="auto" w:fill="FFFFFF"/>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Водночас</w:t>
      </w:r>
      <w:r w:rsidRPr="00EE1275">
        <w:rPr>
          <w:rFonts w:ascii="Times New Roman" w:hAnsi="Times New Roman" w:cs="Times New Roman"/>
          <w:sz w:val="28"/>
          <w:szCs w:val="28"/>
          <w:shd w:val="clear" w:color="auto" w:fill="FFFFFF"/>
          <w:lang w:val="uk-UA"/>
        </w:rPr>
        <w:t xml:space="preserve"> </w:t>
      </w:r>
      <w:r w:rsidR="00EE3F49">
        <w:rPr>
          <w:rFonts w:ascii="Times New Roman" w:hAnsi="Times New Roman" w:cs="Times New Roman"/>
          <w:sz w:val="28"/>
          <w:szCs w:val="28"/>
          <w:shd w:val="clear" w:color="auto" w:fill="FFFFFF"/>
          <w:lang w:val="uk-UA"/>
        </w:rPr>
        <w:t xml:space="preserve">пункт 1.2 розділу I </w:t>
      </w:r>
      <w:proofErr w:type="spellStart"/>
      <w:r w:rsidRPr="00EE1275">
        <w:rPr>
          <w:rFonts w:ascii="Times New Roman" w:hAnsi="Times New Roman" w:cs="Times New Roman"/>
          <w:sz w:val="28"/>
          <w:szCs w:val="28"/>
          <w:shd w:val="clear" w:color="auto" w:fill="FFFFFF"/>
          <w:lang w:val="uk-UA"/>
        </w:rPr>
        <w:t>проєкту</w:t>
      </w:r>
      <w:proofErr w:type="spellEnd"/>
      <w:r w:rsidRPr="00EE1275">
        <w:rPr>
          <w:rFonts w:ascii="Times New Roman" w:hAnsi="Times New Roman" w:cs="Times New Roman"/>
          <w:sz w:val="28"/>
          <w:szCs w:val="28"/>
          <w:shd w:val="clear" w:color="auto" w:fill="FFFFFF"/>
          <w:lang w:val="uk-UA"/>
        </w:rPr>
        <w:t xml:space="preserve"> Антикорупційної стратегії містить загальні посилання:  «…</w:t>
      </w:r>
      <w:r w:rsidRPr="00EE1275">
        <w:rPr>
          <w:rFonts w:ascii="Times New Roman" w:hAnsi="Times New Roman" w:cs="Times New Roman"/>
          <w:sz w:val="28"/>
          <w:szCs w:val="28"/>
          <w:lang w:val="uk-UA"/>
        </w:rPr>
        <w:t xml:space="preserve">попередня Антикорупційна стратегія (на 2014–2017 роки) та Державна програма з її реалізації були якісними програмними документами з високим антикорупційним потенціалом. Вказано, що реалізувати цей потенціал повною мірою не вдалося передусім через тривалий процес створення антикорупційних інституцій, що відбувався протягом 2014–2019 років, а також низьку спроможність Національного агентства у питаннях формування антикорупційної політики та її періодичного коригування (актуалізації). У зв’язку з тим, що ці програмні документи жодного разу не переглядалися та не оновлювалися, починаючи з 2016 року їх положення поступово втрачали </w:t>
      </w:r>
      <w:r w:rsidRPr="00EE1275">
        <w:rPr>
          <w:rFonts w:ascii="Times New Roman" w:hAnsi="Times New Roman" w:cs="Times New Roman"/>
          <w:sz w:val="28"/>
          <w:szCs w:val="28"/>
          <w:lang w:val="uk-UA"/>
        </w:rPr>
        <w:lastRenderedPageBreak/>
        <w:t>свою актуальність. Наприкінці 2017 року завершився період дії Антикорупційної стратегії на 2014–2017 роки. Нову антикорупційну стратегію ухвалено не було. Це призвело до розбалансованої та малоефективної антикорупційної діяльності п’яти  публічних інституцій».</w:t>
      </w:r>
    </w:p>
    <w:p w:rsidR="00EE1275" w:rsidRPr="00EE1275" w:rsidRDefault="00EE1275" w:rsidP="00EE1275">
      <w:pPr>
        <w:shd w:val="clear" w:color="auto" w:fill="FFFFFF"/>
        <w:spacing w:after="150" w:line="240" w:lineRule="auto"/>
        <w:ind w:firstLine="567"/>
        <w:jc w:val="both"/>
        <w:rPr>
          <w:rFonts w:ascii="Times New Roman" w:hAnsi="Times New Roman" w:cs="Times New Roman"/>
          <w:sz w:val="28"/>
          <w:szCs w:val="28"/>
          <w:shd w:val="clear" w:color="auto" w:fill="FFFFFF"/>
          <w:lang w:val="uk-UA"/>
        </w:rPr>
      </w:pPr>
      <w:r w:rsidRPr="00EE1275">
        <w:rPr>
          <w:rFonts w:ascii="Times New Roman" w:hAnsi="Times New Roman" w:cs="Times New Roman"/>
          <w:sz w:val="28"/>
          <w:szCs w:val="28"/>
          <w:lang w:val="uk-UA"/>
        </w:rPr>
        <w:t xml:space="preserve">Проте, на переконання Вищої ради правосуддя, таке обґрунтування розроблення </w:t>
      </w:r>
      <w:proofErr w:type="spellStart"/>
      <w:r w:rsidRPr="00EE1275">
        <w:rPr>
          <w:rFonts w:ascii="Times New Roman" w:hAnsi="Times New Roman" w:cs="Times New Roman"/>
          <w:sz w:val="28"/>
          <w:szCs w:val="28"/>
          <w:lang w:val="uk-UA"/>
        </w:rPr>
        <w:t>проєкту</w:t>
      </w:r>
      <w:proofErr w:type="spellEnd"/>
      <w:r w:rsidRPr="00EE1275">
        <w:rPr>
          <w:rFonts w:ascii="Times New Roman" w:hAnsi="Times New Roman" w:cs="Times New Roman"/>
          <w:sz w:val="28"/>
          <w:szCs w:val="28"/>
          <w:lang w:val="uk-UA"/>
        </w:rPr>
        <w:t xml:space="preserve"> Антикорупційної стратегії без </w:t>
      </w:r>
      <w:r w:rsidRPr="00EE1275">
        <w:rPr>
          <w:rFonts w:ascii="Times New Roman" w:hAnsi="Times New Roman" w:cs="Times New Roman"/>
          <w:sz w:val="28"/>
          <w:szCs w:val="28"/>
          <w:shd w:val="clear" w:color="auto" w:fill="FFFFFF"/>
          <w:lang w:val="uk-UA"/>
        </w:rPr>
        <w:t>аналізу ситуації щодо корупції, а також результатів виконання попере</w:t>
      </w:r>
      <w:r w:rsidR="00657255">
        <w:rPr>
          <w:rFonts w:ascii="Times New Roman" w:hAnsi="Times New Roman" w:cs="Times New Roman"/>
          <w:sz w:val="28"/>
          <w:szCs w:val="28"/>
          <w:shd w:val="clear" w:color="auto" w:fill="FFFFFF"/>
          <w:lang w:val="uk-UA"/>
        </w:rPr>
        <w:t>дньої антикорупційної стратегії</w:t>
      </w:r>
      <w:r w:rsidRPr="00EE1275">
        <w:rPr>
          <w:rFonts w:ascii="Times New Roman" w:hAnsi="Times New Roman" w:cs="Times New Roman"/>
          <w:sz w:val="28"/>
          <w:szCs w:val="28"/>
          <w:shd w:val="clear" w:color="auto" w:fill="FFFFFF"/>
          <w:lang w:val="uk-UA"/>
        </w:rPr>
        <w:t xml:space="preserve"> суперечить статті 18 </w:t>
      </w:r>
      <w:r w:rsidRPr="00EE1275">
        <w:rPr>
          <w:rFonts w:ascii="Times New Roman" w:hAnsi="Times New Roman" w:cs="Times New Roman"/>
          <w:bCs/>
          <w:sz w:val="28"/>
          <w:szCs w:val="28"/>
          <w:shd w:val="clear" w:color="auto" w:fill="FFFFFF"/>
          <w:lang w:val="uk-UA"/>
        </w:rPr>
        <w:t xml:space="preserve">Закону </w:t>
      </w:r>
      <w:r w:rsidRPr="00EE1275">
        <w:rPr>
          <w:rFonts w:ascii="Times New Roman" w:eastAsia="Times New Roman" w:hAnsi="Times New Roman" w:cs="Times New Roman"/>
          <w:sz w:val="28"/>
          <w:szCs w:val="28"/>
          <w:lang w:val="uk-UA"/>
        </w:rPr>
        <w:t xml:space="preserve">№ </w:t>
      </w:r>
      <w:r w:rsidRPr="00EE1275">
        <w:rPr>
          <w:rFonts w:ascii="Times New Roman" w:hAnsi="Times New Roman" w:cs="Times New Roman"/>
          <w:bCs/>
          <w:sz w:val="28"/>
          <w:szCs w:val="28"/>
          <w:shd w:val="clear" w:color="auto" w:fill="FFFFFF"/>
          <w:lang w:val="uk-UA"/>
        </w:rPr>
        <w:t>1700-VII</w:t>
      </w:r>
      <w:r w:rsidRPr="00EE1275">
        <w:rPr>
          <w:rFonts w:ascii="Times New Roman" w:hAnsi="Times New Roman" w:cs="Times New Roman"/>
          <w:sz w:val="28"/>
          <w:szCs w:val="28"/>
          <w:shd w:val="clear" w:color="auto" w:fill="FFFFFF"/>
          <w:lang w:val="uk-UA"/>
        </w:rPr>
        <w:t xml:space="preserve"> та не відповідає конституційній нормі частини другої статті 19  </w:t>
      </w:r>
      <w:r w:rsidRPr="00EE1275">
        <w:rPr>
          <w:rFonts w:ascii="Times New Roman" w:hAnsi="Times New Roman" w:cs="Times New Roman"/>
          <w:sz w:val="28"/>
          <w:szCs w:val="28"/>
          <w:lang w:val="uk-UA"/>
        </w:rPr>
        <w:t xml:space="preserve">Конституції України, згідно з якою </w:t>
      </w:r>
      <w:r w:rsidRPr="00EE1275">
        <w:rPr>
          <w:rFonts w:ascii="Times New Roman" w:hAnsi="Times New Roman" w:cs="Times New Roman"/>
          <w:sz w:val="28"/>
          <w:szCs w:val="28"/>
          <w:shd w:val="clear" w:color="auto" w:fill="FFFFFF"/>
          <w:lang w:val="uk-UA"/>
        </w:rPr>
        <w:t xml:space="preserve"> органи державної влади, їх посадові особи зобов’язані діяти лише на підставі, в межах повноважень та у спосіб, що передбачені Конституцією та законами України. За таких умов </w:t>
      </w:r>
      <w:proofErr w:type="spellStart"/>
      <w:r w:rsidRPr="00EE1275">
        <w:rPr>
          <w:rFonts w:ascii="Times New Roman" w:hAnsi="Times New Roman" w:cs="Times New Roman"/>
          <w:sz w:val="28"/>
          <w:szCs w:val="28"/>
          <w:shd w:val="clear" w:color="auto" w:fill="FFFFFF"/>
          <w:lang w:val="uk-UA"/>
        </w:rPr>
        <w:t>проєкт</w:t>
      </w:r>
      <w:proofErr w:type="spellEnd"/>
      <w:r w:rsidRPr="00EE1275">
        <w:rPr>
          <w:rFonts w:ascii="Times New Roman" w:hAnsi="Times New Roman" w:cs="Times New Roman"/>
          <w:sz w:val="28"/>
          <w:szCs w:val="28"/>
          <w:shd w:val="clear" w:color="auto" w:fill="FFFFFF"/>
          <w:lang w:val="uk-UA"/>
        </w:rPr>
        <w:t xml:space="preserve"> Антикорупційної стратегії, розроблений всупереч імперативним приписам законодавства, не може створювати основу для подальшого розвитку антикорупційного законодавства та потребує доопрацювання. </w:t>
      </w:r>
    </w:p>
    <w:p w:rsidR="00EE1275" w:rsidRPr="00EE1275" w:rsidRDefault="00EE1275" w:rsidP="00EE1275">
      <w:pPr>
        <w:spacing w:line="240" w:lineRule="auto"/>
        <w:jc w:val="both"/>
        <w:rPr>
          <w:rFonts w:ascii="Times New Roman" w:hAnsi="Times New Roman" w:cs="Times New Roman"/>
          <w:sz w:val="28"/>
          <w:szCs w:val="28"/>
          <w:shd w:val="clear" w:color="auto" w:fill="FFFFFF"/>
          <w:lang w:val="uk-UA"/>
        </w:rPr>
      </w:pPr>
      <w:r w:rsidRPr="00EE1275">
        <w:rPr>
          <w:rFonts w:ascii="Times New Roman" w:hAnsi="Times New Roman" w:cs="Times New Roman"/>
          <w:sz w:val="28"/>
          <w:szCs w:val="28"/>
          <w:shd w:val="clear" w:color="auto" w:fill="FFFFFF"/>
          <w:lang w:val="uk-UA"/>
        </w:rPr>
        <w:t xml:space="preserve"> </w:t>
      </w:r>
    </w:p>
    <w:p w:rsidR="00657255" w:rsidRDefault="00EE1275" w:rsidP="00EE1275">
      <w:pPr>
        <w:shd w:val="clear" w:color="auto" w:fill="FFFFFF"/>
        <w:spacing w:line="240" w:lineRule="auto"/>
        <w:ind w:firstLine="567"/>
        <w:jc w:val="both"/>
        <w:rPr>
          <w:rFonts w:ascii="Times New Roman" w:hAnsi="Times New Roman" w:cs="Times New Roman"/>
          <w:sz w:val="28"/>
          <w:szCs w:val="28"/>
          <w:lang w:val="uk-UA"/>
        </w:rPr>
      </w:pPr>
      <w:r w:rsidRPr="00EE1275">
        <w:rPr>
          <w:rFonts w:ascii="Times New Roman" w:hAnsi="Times New Roman" w:cs="Times New Roman"/>
          <w:sz w:val="28"/>
          <w:szCs w:val="28"/>
          <w:shd w:val="clear" w:color="auto" w:fill="FFFFFF"/>
          <w:lang w:val="uk-UA"/>
        </w:rPr>
        <w:t>2. Р</w:t>
      </w:r>
      <w:r w:rsidRPr="00EE1275">
        <w:rPr>
          <w:rFonts w:ascii="Times New Roman" w:hAnsi="Times New Roman" w:cs="Times New Roman"/>
          <w:sz w:val="28"/>
          <w:szCs w:val="28"/>
          <w:lang w:val="uk-UA"/>
        </w:rPr>
        <w:t xml:space="preserve">озділ III  </w:t>
      </w:r>
      <w:proofErr w:type="spellStart"/>
      <w:r w:rsidRPr="00EE1275">
        <w:rPr>
          <w:rFonts w:ascii="Times New Roman" w:hAnsi="Times New Roman" w:cs="Times New Roman"/>
          <w:sz w:val="28"/>
          <w:szCs w:val="28"/>
          <w:lang w:val="uk-UA"/>
        </w:rPr>
        <w:t>проєкту</w:t>
      </w:r>
      <w:proofErr w:type="spellEnd"/>
      <w:r w:rsidRPr="00EE1275">
        <w:rPr>
          <w:rFonts w:ascii="Times New Roman" w:hAnsi="Times New Roman" w:cs="Times New Roman"/>
          <w:sz w:val="28"/>
          <w:szCs w:val="28"/>
          <w:lang w:val="uk-UA"/>
        </w:rPr>
        <w:t xml:space="preserve"> Антикорупційної стратегії присвячений запобіганню корупції у пріоритетних сферах, зокрема у сфері судочинства. У пункті 3.1.1 зазначено: «Доброчесність не є вимогою до членів Вищої ради правосуддя і Вищої кваліфікаційної комісії суддів України. У суспільстві спостерігається високий рівень недовіри до цих органів, зокрема, через недостатню прозорість їхньої діяльності». При цьому в підпункті цього пункту вказано: «Очікувані стратегічні результати: 1) доброчесність є обов’язковою законодавчою вимогою до членів Вищої ради правосуддя і Вищої кваліфікаційної комісії суддів України; </w:t>
      </w:r>
      <w:r w:rsidR="00657255">
        <w:rPr>
          <w:rFonts w:ascii="Times New Roman" w:hAnsi="Times New Roman" w:cs="Times New Roman"/>
          <w:sz w:val="28"/>
          <w:szCs w:val="28"/>
          <w:lang w:val="uk-UA"/>
        </w:rPr>
        <w:t xml:space="preserve">2) </w:t>
      </w:r>
      <w:r w:rsidRPr="00EE1275">
        <w:rPr>
          <w:rFonts w:ascii="Times New Roman" w:hAnsi="Times New Roman" w:cs="Times New Roman"/>
          <w:sz w:val="28"/>
          <w:szCs w:val="28"/>
          <w:lang w:val="uk-UA"/>
        </w:rPr>
        <w:t xml:space="preserve">чинний склад Вищої ради правосуддя перевірено на предмет відповідності вимогам доброчесності та професійної етики тимчасовою незалежною Комісією з питань доброчесності з представників (у рівних частинах) Ради суддів України, фахової громадськості та міжнародних партнерів України. Члени, що не відповідали цим вимогам, втратили посаду…». </w:t>
      </w:r>
      <w:r w:rsidR="00657255">
        <w:rPr>
          <w:rFonts w:ascii="Times New Roman" w:hAnsi="Times New Roman" w:cs="Times New Roman"/>
          <w:sz w:val="28"/>
          <w:szCs w:val="28"/>
          <w:lang w:val="uk-UA"/>
        </w:rPr>
        <w:tab/>
      </w:r>
      <w:r w:rsidR="00657255">
        <w:rPr>
          <w:rFonts w:ascii="Times New Roman" w:hAnsi="Times New Roman" w:cs="Times New Roman"/>
          <w:sz w:val="28"/>
          <w:szCs w:val="28"/>
          <w:lang w:val="uk-UA"/>
        </w:rPr>
        <w:tab/>
      </w:r>
    </w:p>
    <w:p w:rsidR="00EE1275" w:rsidRPr="00EE1275" w:rsidRDefault="00EE1275" w:rsidP="00EE1275">
      <w:pPr>
        <w:shd w:val="clear" w:color="auto" w:fill="FFFFFF"/>
        <w:spacing w:line="240" w:lineRule="auto"/>
        <w:ind w:firstLine="567"/>
        <w:jc w:val="both"/>
        <w:rPr>
          <w:rFonts w:ascii="Times New Roman" w:hAnsi="Times New Roman" w:cs="Times New Roman"/>
          <w:sz w:val="28"/>
          <w:szCs w:val="28"/>
          <w:lang w:val="uk-UA"/>
        </w:rPr>
      </w:pPr>
      <w:r w:rsidRPr="00EE1275">
        <w:rPr>
          <w:rFonts w:ascii="Times New Roman" w:hAnsi="Times New Roman" w:cs="Times New Roman"/>
          <w:sz w:val="28"/>
          <w:szCs w:val="28"/>
          <w:lang w:val="uk-UA"/>
        </w:rPr>
        <w:t xml:space="preserve">Як зазначено вище, твердження про високий ступінь недовіри до судової влади, Вищої ради правосуддя та Вищої  кваліфікаційної комісії суддів України не є такими, що підтверджуються будь-якими реальними дослідженнями серед професійної спільноти чи широкого кола споживачів судових послуг, які наведені в досліджуваному </w:t>
      </w:r>
      <w:proofErr w:type="spellStart"/>
      <w:r w:rsidRPr="00EE1275">
        <w:rPr>
          <w:rFonts w:ascii="Times New Roman" w:hAnsi="Times New Roman" w:cs="Times New Roman"/>
          <w:sz w:val="28"/>
          <w:szCs w:val="28"/>
          <w:lang w:val="uk-UA"/>
        </w:rPr>
        <w:t>проєкті</w:t>
      </w:r>
      <w:proofErr w:type="spellEnd"/>
      <w:r w:rsidRPr="00EE1275">
        <w:rPr>
          <w:rFonts w:ascii="Times New Roman" w:hAnsi="Times New Roman" w:cs="Times New Roman"/>
          <w:sz w:val="28"/>
          <w:szCs w:val="28"/>
          <w:lang w:val="uk-UA"/>
        </w:rPr>
        <w:t xml:space="preserve"> Антикорупційної </w:t>
      </w:r>
      <w:r w:rsidR="00657255">
        <w:rPr>
          <w:rFonts w:ascii="Times New Roman" w:hAnsi="Times New Roman" w:cs="Times New Roman"/>
          <w:sz w:val="28"/>
          <w:szCs w:val="28"/>
          <w:lang w:val="uk-UA"/>
        </w:rPr>
        <w:t>стратегії</w:t>
      </w:r>
      <w:r w:rsidRPr="00EE1275">
        <w:rPr>
          <w:rFonts w:ascii="Times New Roman" w:hAnsi="Times New Roman" w:cs="Times New Roman"/>
          <w:sz w:val="28"/>
          <w:szCs w:val="28"/>
          <w:lang w:val="uk-UA"/>
        </w:rPr>
        <w:t xml:space="preserve">. </w:t>
      </w:r>
    </w:p>
    <w:p w:rsidR="00EE1275" w:rsidRPr="00EE1275" w:rsidRDefault="00EE1275" w:rsidP="00EE1275">
      <w:pPr>
        <w:shd w:val="clear" w:color="auto" w:fill="FFFFFF"/>
        <w:spacing w:line="240" w:lineRule="auto"/>
        <w:ind w:firstLine="567"/>
        <w:jc w:val="both"/>
        <w:rPr>
          <w:rFonts w:ascii="Times New Roman" w:hAnsi="Times New Roman" w:cs="Times New Roman"/>
          <w:sz w:val="28"/>
          <w:szCs w:val="28"/>
          <w:lang w:val="uk-UA"/>
        </w:rPr>
      </w:pPr>
      <w:r w:rsidRPr="00EE1275">
        <w:rPr>
          <w:rFonts w:ascii="Times New Roman" w:hAnsi="Times New Roman" w:cs="Times New Roman"/>
          <w:sz w:val="28"/>
          <w:szCs w:val="28"/>
          <w:lang w:val="uk-UA"/>
        </w:rPr>
        <w:t xml:space="preserve">Між тим, за інформацією Державної судової адміністрації України, до судів у 2019 році надійшло 1 546 774 справи, з яких вирішено 1 399 782 справи, що свідчить про значну  довіру до судової влади. </w:t>
      </w:r>
    </w:p>
    <w:p w:rsidR="00EE1275" w:rsidRPr="00EE1275" w:rsidRDefault="00EE1275" w:rsidP="00EE1275">
      <w:pPr>
        <w:shd w:val="clear" w:color="auto" w:fill="FFFFFF"/>
        <w:spacing w:line="240" w:lineRule="auto"/>
        <w:ind w:firstLine="567"/>
        <w:jc w:val="both"/>
        <w:rPr>
          <w:rFonts w:ascii="Times New Roman" w:hAnsi="Times New Roman" w:cs="Times New Roman"/>
          <w:bCs/>
          <w:sz w:val="28"/>
          <w:szCs w:val="28"/>
          <w:shd w:val="clear" w:color="auto" w:fill="FFFFFF"/>
          <w:lang w:val="uk-UA"/>
        </w:rPr>
      </w:pPr>
      <w:r w:rsidRPr="00EE1275">
        <w:rPr>
          <w:rFonts w:ascii="Times New Roman" w:hAnsi="Times New Roman" w:cs="Times New Roman"/>
          <w:sz w:val="28"/>
          <w:szCs w:val="28"/>
          <w:lang w:val="uk-UA"/>
        </w:rPr>
        <w:t xml:space="preserve">Також необґрунтованим видається твердження про недовіру до Вищої кваліфікаційної комісії суддів України, оскільки на момент підготовки НАЗК </w:t>
      </w:r>
      <w:proofErr w:type="spellStart"/>
      <w:r w:rsidRPr="00EE1275">
        <w:rPr>
          <w:rFonts w:ascii="Times New Roman" w:hAnsi="Times New Roman" w:cs="Times New Roman"/>
          <w:sz w:val="28"/>
          <w:szCs w:val="28"/>
          <w:lang w:val="uk-UA"/>
        </w:rPr>
        <w:t>проєкту</w:t>
      </w:r>
      <w:proofErr w:type="spellEnd"/>
      <w:r w:rsidRPr="00EE1275">
        <w:rPr>
          <w:rFonts w:ascii="Times New Roman" w:hAnsi="Times New Roman" w:cs="Times New Roman"/>
          <w:sz w:val="28"/>
          <w:szCs w:val="28"/>
          <w:lang w:val="uk-UA"/>
        </w:rPr>
        <w:t xml:space="preserve"> Антикорупційної стратегії, наданого</w:t>
      </w:r>
      <w:r w:rsidR="00657255">
        <w:rPr>
          <w:rFonts w:ascii="Times New Roman" w:hAnsi="Times New Roman" w:cs="Times New Roman"/>
          <w:sz w:val="28"/>
          <w:szCs w:val="28"/>
          <w:lang w:val="uk-UA"/>
        </w:rPr>
        <w:t xml:space="preserve"> для аналізу, вказана </w:t>
      </w:r>
      <w:r w:rsidR="00EE7B90">
        <w:rPr>
          <w:rFonts w:ascii="Times New Roman" w:hAnsi="Times New Roman" w:cs="Times New Roman"/>
          <w:sz w:val="28"/>
          <w:szCs w:val="28"/>
          <w:lang w:val="uk-UA"/>
        </w:rPr>
        <w:t>К</w:t>
      </w:r>
      <w:r w:rsidR="00657255">
        <w:rPr>
          <w:rFonts w:ascii="Times New Roman" w:hAnsi="Times New Roman" w:cs="Times New Roman"/>
          <w:sz w:val="28"/>
          <w:szCs w:val="28"/>
          <w:lang w:val="uk-UA"/>
        </w:rPr>
        <w:t>омісія</w:t>
      </w:r>
      <w:r w:rsidRPr="00EE1275">
        <w:rPr>
          <w:rFonts w:ascii="Times New Roman" w:hAnsi="Times New Roman" w:cs="Times New Roman"/>
          <w:sz w:val="28"/>
          <w:szCs w:val="28"/>
          <w:lang w:val="uk-UA"/>
        </w:rPr>
        <w:t xml:space="preserve"> з 6 листопада 2019 року на підставі Закону України «</w:t>
      </w:r>
      <w:r w:rsidRPr="00EE1275">
        <w:rPr>
          <w:rFonts w:ascii="Times New Roman" w:hAnsi="Times New Roman" w:cs="Times New Roman"/>
          <w:bCs/>
          <w:sz w:val="28"/>
          <w:szCs w:val="28"/>
          <w:shd w:val="clear" w:color="auto" w:fill="FFFFFF"/>
          <w:lang w:val="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w:t>
      </w:r>
      <w:r w:rsidRPr="00EE1275">
        <w:rPr>
          <w:rFonts w:ascii="Times New Roman" w:hAnsi="Times New Roman" w:cs="Times New Roman"/>
          <w:bCs/>
          <w:sz w:val="28"/>
          <w:szCs w:val="28"/>
          <w:shd w:val="clear" w:color="auto" w:fill="FFFFFF"/>
          <w:lang w:val="uk-UA"/>
        </w:rPr>
        <w:lastRenderedPageBreak/>
        <w:t xml:space="preserve">2019 року № 193-IX (далі – </w:t>
      </w:r>
      <w:r w:rsidR="00EE7B90">
        <w:rPr>
          <w:rFonts w:ascii="Times New Roman" w:hAnsi="Times New Roman" w:cs="Times New Roman"/>
          <w:bCs/>
          <w:sz w:val="28"/>
          <w:szCs w:val="28"/>
          <w:shd w:val="clear" w:color="auto" w:fill="FFFFFF"/>
          <w:lang w:val="uk-UA"/>
        </w:rPr>
        <w:t>Закон</w:t>
      </w:r>
      <w:r w:rsidRPr="00EE1275">
        <w:rPr>
          <w:rFonts w:ascii="Times New Roman" w:hAnsi="Times New Roman" w:cs="Times New Roman"/>
          <w:bCs/>
          <w:sz w:val="28"/>
          <w:szCs w:val="28"/>
          <w:shd w:val="clear" w:color="auto" w:fill="FFFFFF"/>
          <w:lang w:val="uk-UA"/>
        </w:rPr>
        <w:t xml:space="preserve"> № 193-IX) припинила свою роботу і не виконує повноважень.</w:t>
      </w:r>
    </w:p>
    <w:p w:rsidR="00EE1275" w:rsidRPr="00EE1275" w:rsidRDefault="00EE1275" w:rsidP="00EE1275">
      <w:pPr>
        <w:shd w:val="clear" w:color="auto" w:fill="FFFFFF"/>
        <w:spacing w:line="240" w:lineRule="auto"/>
        <w:ind w:firstLine="567"/>
        <w:jc w:val="both"/>
        <w:rPr>
          <w:rFonts w:ascii="Times New Roman" w:hAnsi="Times New Roman" w:cs="Times New Roman"/>
          <w:sz w:val="28"/>
          <w:szCs w:val="28"/>
          <w:lang w:val="uk-UA"/>
        </w:rPr>
      </w:pPr>
      <w:r w:rsidRPr="00EE1275">
        <w:rPr>
          <w:rFonts w:ascii="Times New Roman" w:hAnsi="Times New Roman" w:cs="Times New Roman"/>
          <w:bCs/>
          <w:sz w:val="28"/>
          <w:szCs w:val="28"/>
          <w:shd w:val="clear" w:color="auto" w:fill="FFFFFF"/>
          <w:lang w:val="uk-UA"/>
        </w:rPr>
        <w:t>Щодо запровадження перевірки членів Вищої ради правосуддя через  механізм створення «</w:t>
      </w:r>
      <w:r w:rsidRPr="00EE1275">
        <w:rPr>
          <w:rFonts w:ascii="Times New Roman" w:hAnsi="Times New Roman" w:cs="Times New Roman"/>
          <w:sz w:val="28"/>
          <w:szCs w:val="28"/>
          <w:lang w:val="uk-UA"/>
        </w:rPr>
        <w:t xml:space="preserve">тимчасової незалежної Комісії з питань доброчесності», </w:t>
      </w:r>
      <w:r w:rsidRPr="00EE1275">
        <w:rPr>
          <w:rFonts w:ascii="Times New Roman" w:hAnsi="Times New Roman" w:cs="Times New Roman"/>
          <w:bCs/>
          <w:sz w:val="28"/>
          <w:szCs w:val="28"/>
          <w:shd w:val="clear" w:color="auto" w:fill="FFFFFF"/>
          <w:lang w:val="uk-UA"/>
        </w:rPr>
        <w:t>яка за своєю суттю та повноваженнями є аналогічною комісії, що була передбачена</w:t>
      </w:r>
      <w:r w:rsidR="00EE7B90">
        <w:rPr>
          <w:rFonts w:ascii="Times New Roman" w:hAnsi="Times New Roman" w:cs="Times New Roman"/>
          <w:bCs/>
          <w:sz w:val="28"/>
          <w:szCs w:val="28"/>
          <w:shd w:val="clear" w:color="auto" w:fill="FFFFFF"/>
          <w:lang w:val="uk-UA"/>
        </w:rPr>
        <w:t xml:space="preserve"> </w:t>
      </w:r>
      <w:r w:rsidRPr="00EE1275">
        <w:rPr>
          <w:rFonts w:ascii="Times New Roman" w:hAnsi="Times New Roman" w:cs="Times New Roman"/>
          <w:bCs/>
          <w:sz w:val="28"/>
          <w:szCs w:val="28"/>
          <w:shd w:val="clear" w:color="auto" w:fill="FFFFFF"/>
          <w:lang w:val="uk-UA"/>
        </w:rPr>
        <w:t>статтею 28-1 Закону № 193-IX</w:t>
      </w:r>
      <w:r w:rsidR="00312B2B">
        <w:rPr>
          <w:rFonts w:ascii="Times New Roman" w:hAnsi="Times New Roman" w:cs="Times New Roman"/>
          <w:bCs/>
          <w:sz w:val="28"/>
          <w:szCs w:val="28"/>
          <w:shd w:val="clear" w:color="auto" w:fill="FFFFFF"/>
          <w:lang w:val="uk-UA"/>
        </w:rPr>
        <w:t>,</w:t>
      </w:r>
      <w:r w:rsidRPr="00EE1275">
        <w:rPr>
          <w:rFonts w:ascii="Times New Roman" w:hAnsi="Times New Roman" w:cs="Times New Roman"/>
          <w:bCs/>
          <w:sz w:val="28"/>
          <w:szCs w:val="28"/>
          <w:shd w:val="clear" w:color="auto" w:fill="FFFFFF"/>
          <w:lang w:val="uk-UA"/>
        </w:rPr>
        <w:t xml:space="preserve"> необхідно відзначити, що такий механізм не відповідає Конституції України, що встановлено рішенням Конституційного Суду України від 11 березня 2020 року № 4-р/2020, в пункті 6.1 якого вказано: «…</w:t>
      </w:r>
      <w:r w:rsidRPr="00EE1275">
        <w:rPr>
          <w:rFonts w:ascii="Times New Roman" w:hAnsi="Times New Roman" w:cs="Times New Roman"/>
          <w:sz w:val="28"/>
          <w:szCs w:val="28"/>
          <w:lang w:val="uk-UA"/>
        </w:rPr>
        <w:t>Комісія наділена повноваженнями щодо контролю за діяльністю членів Вищої ради правосуддя…, проте ці повноваження не мають конституційної основи</w:t>
      </w:r>
      <w:bookmarkStart w:id="1" w:name="n55"/>
      <w:bookmarkEnd w:id="1"/>
      <w:r w:rsidRPr="00EE1275">
        <w:rPr>
          <w:rFonts w:ascii="Times New Roman" w:hAnsi="Times New Roman" w:cs="Times New Roman"/>
          <w:sz w:val="28"/>
          <w:szCs w:val="28"/>
          <w:lang w:val="uk-UA"/>
        </w:rPr>
        <w:t xml:space="preserve">». </w:t>
      </w:r>
    </w:p>
    <w:p w:rsidR="00EE1275" w:rsidRPr="00EE1275" w:rsidRDefault="00EE1275" w:rsidP="00EE1275">
      <w:pPr>
        <w:shd w:val="clear" w:color="auto" w:fill="FFFFFF"/>
        <w:spacing w:line="240" w:lineRule="auto"/>
        <w:ind w:firstLine="567"/>
        <w:jc w:val="both"/>
        <w:rPr>
          <w:rFonts w:ascii="Times New Roman" w:hAnsi="Times New Roman" w:cs="Times New Roman"/>
          <w:sz w:val="28"/>
          <w:szCs w:val="28"/>
          <w:lang w:val="uk-UA"/>
        </w:rPr>
      </w:pPr>
      <w:r w:rsidRPr="00EE1275">
        <w:rPr>
          <w:rFonts w:ascii="Times New Roman" w:hAnsi="Times New Roman" w:cs="Times New Roman"/>
          <w:sz w:val="28"/>
          <w:szCs w:val="28"/>
          <w:lang w:val="uk-UA"/>
        </w:rPr>
        <w:t xml:space="preserve">З огляду на викладене Вища рада правосуддя дійшла до висновку, що </w:t>
      </w:r>
      <w:proofErr w:type="spellStart"/>
      <w:r w:rsidRPr="00EE1275">
        <w:rPr>
          <w:rFonts w:ascii="Times New Roman" w:hAnsi="Times New Roman" w:cs="Times New Roman"/>
          <w:sz w:val="28"/>
          <w:szCs w:val="28"/>
          <w:lang w:val="uk-UA"/>
        </w:rPr>
        <w:t>проєкт</w:t>
      </w:r>
      <w:proofErr w:type="spellEnd"/>
      <w:r w:rsidRPr="00EE1275">
        <w:rPr>
          <w:rFonts w:ascii="Times New Roman" w:hAnsi="Times New Roman" w:cs="Times New Roman"/>
          <w:sz w:val="28"/>
          <w:szCs w:val="28"/>
          <w:lang w:val="uk-UA"/>
        </w:rPr>
        <w:t xml:space="preserve"> Антикорупційної стратегії, який у разі ухвалення стане </w:t>
      </w:r>
      <w:r w:rsidRPr="00EE1275">
        <w:rPr>
          <w:rFonts w:ascii="Times New Roman" w:hAnsi="Times New Roman" w:cs="Times New Roman"/>
          <w:sz w:val="28"/>
          <w:szCs w:val="28"/>
          <w:shd w:val="clear" w:color="auto" w:fill="FFFFFF"/>
          <w:lang w:val="uk-UA"/>
        </w:rPr>
        <w:t>спеціальним нормативним актом</w:t>
      </w:r>
      <w:r w:rsidR="00312B2B">
        <w:rPr>
          <w:rFonts w:ascii="Times New Roman" w:hAnsi="Times New Roman" w:cs="Times New Roman"/>
          <w:sz w:val="28"/>
          <w:szCs w:val="28"/>
          <w:shd w:val="clear" w:color="auto" w:fill="FFFFFF"/>
          <w:lang w:val="uk-UA"/>
        </w:rPr>
        <w:t xml:space="preserve">, </w:t>
      </w:r>
      <w:r w:rsidRPr="00EE1275">
        <w:rPr>
          <w:rFonts w:ascii="Times New Roman" w:hAnsi="Times New Roman" w:cs="Times New Roman"/>
          <w:sz w:val="28"/>
          <w:szCs w:val="28"/>
          <w:shd w:val="clear" w:color="auto" w:fill="FFFFFF"/>
          <w:lang w:val="uk-UA"/>
        </w:rPr>
        <w:t xml:space="preserve">не може суперечити чинному конституційному регулюванню суспільних відносин. Більш того, неспроможність п’яти </w:t>
      </w:r>
      <w:r w:rsidRPr="00EE1275">
        <w:rPr>
          <w:rFonts w:ascii="Times New Roman" w:hAnsi="Times New Roman" w:cs="Times New Roman"/>
          <w:sz w:val="28"/>
          <w:szCs w:val="28"/>
          <w:lang w:val="uk-UA"/>
        </w:rPr>
        <w:t>публічних інституцій щодо ефективного впровадження чинного антикорупційного законодавства не може виправдати порушення Конституції України шляхом створення шостої публічної інституції – тимчасової незалежної Комісії з питань доброчесності.</w:t>
      </w:r>
    </w:p>
    <w:p w:rsidR="00EE1275" w:rsidRPr="00EE1275" w:rsidRDefault="00EE1275" w:rsidP="00EE1275">
      <w:pPr>
        <w:shd w:val="clear" w:color="auto" w:fill="FFFFFF"/>
        <w:spacing w:line="240" w:lineRule="auto"/>
        <w:jc w:val="both"/>
        <w:rPr>
          <w:rFonts w:ascii="Times New Roman" w:hAnsi="Times New Roman" w:cs="Times New Roman"/>
          <w:sz w:val="28"/>
          <w:szCs w:val="28"/>
          <w:lang w:val="uk-UA"/>
        </w:rPr>
      </w:pPr>
      <w:r w:rsidRPr="00EE1275">
        <w:rPr>
          <w:rFonts w:ascii="Times New Roman" w:hAnsi="Times New Roman" w:cs="Times New Roman"/>
          <w:sz w:val="28"/>
          <w:szCs w:val="28"/>
          <w:shd w:val="clear" w:color="auto" w:fill="FFFFFF"/>
          <w:lang w:val="uk-UA"/>
        </w:rPr>
        <w:t xml:space="preserve"> </w:t>
      </w:r>
      <w:r w:rsidR="005A5179">
        <w:rPr>
          <w:rFonts w:ascii="Times New Roman" w:hAnsi="Times New Roman" w:cs="Times New Roman"/>
          <w:sz w:val="28"/>
          <w:szCs w:val="28"/>
          <w:lang w:val="uk-UA"/>
        </w:rPr>
        <w:t xml:space="preserve">  </w:t>
      </w:r>
    </w:p>
    <w:p w:rsidR="00EE1275" w:rsidRPr="00EE1275" w:rsidRDefault="00EE1275" w:rsidP="00EE1275">
      <w:pPr>
        <w:tabs>
          <w:tab w:val="left" w:pos="0"/>
        </w:tabs>
        <w:autoSpaceDE w:val="0"/>
        <w:autoSpaceDN w:val="0"/>
        <w:adjustRightInd w:val="0"/>
        <w:spacing w:line="240" w:lineRule="auto"/>
        <w:jc w:val="both"/>
        <w:rPr>
          <w:rFonts w:ascii="Times New Roman" w:hAnsi="Times New Roman" w:cs="Times New Roman"/>
          <w:sz w:val="28"/>
          <w:szCs w:val="28"/>
          <w:lang w:val="uk-UA"/>
        </w:rPr>
      </w:pPr>
      <w:r w:rsidRPr="00EE1275">
        <w:rPr>
          <w:rFonts w:ascii="Times New Roman" w:hAnsi="Times New Roman" w:cs="Times New Roman"/>
          <w:sz w:val="28"/>
          <w:szCs w:val="28"/>
          <w:lang w:val="uk-UA"/>
        </w:rPr>
        <w:t xml:space="preserve">3. У пунктах 3.1.2, 3.1.3, 3.1.4  </w:t>
      </w:r>
      <w:proofErr w:type="spellStart"/>
      <w:r w:rsidRPr="00EE1275">
        <w:rPr>
          <w:rFonts w:ascii="Times New Roman" w:hAnsi="Times New Roman" w:cs="Times New Roman"/>
          <w:sz w:val="28"/>
          <w:szCs w:val="28"/>
          <w:lang w:val="uk-UA"/>
        </w:rPr>
        <w:t>проєкт</w:t>
      </w:r>
      <w:r w:rsidR="00312B2B">
        <w:rPr>
          <w:rFonts w:ascii="Times New Roman" w:hAnsi="Times New Roman" w:cs="Times New Roman"/>
          <w:sz w:val="28"/>
          <w:szCs w:val="28"/>
          <w:lang w:val="uk-UA"/>
        </w:rPr>
        <w:t>у</w:t>
      </w:r>
      <w:proofErr w:type="spellEnd"/>
      <w:r w:rsidRPr="00EE1275">
        <w:rPr>
          <w:rFonts w:ascii="Times New Roman" w:hAnsi="Times New Roman" w:cs="Times New Roman"/>
          <w:sz w:val="28"/>
          <w:szCs w:val="28"/>
          <w:lang w:val="uk-UA"/>
        </w:rPr>
        <w:t xml:space="preserve"> </w:t>
      </w:r>
      <w:r w:rsidRPr="00EE1275">
        <w:rPr>
          <w:rFonts w:ascii="Times New Roman" w:hAnsi="Times New Roman" w:cs="Times New Roman"/>
          <w:sz w:val="28"/>
          <w:szCs w:val="28"/>
          <w:shd w:val="clear" w:color="auto" w:fill="FFFFFF"/>
          <w:lang w:val="uk-UA"/>
        </w:rPr>
        <w:t xml:space="preserve">Антикорупційної стратегії визначені напрями </w:t>
      </w:r>
      <w:r w:rsidRPr="00EE1275">
        <w:rPr>
          <w:rFonts w:ascii="Times New Roman" w:hAnsi="Times New Roman" w:cs="Times New Roman"/>
          <w:sz w:val="28"/>
          <w:szCs w:val="28"/>
          <w:lang w:val="uk-UA"/>
        </w:rPr>
        <w:t xml:space="preserve">законодавчих заходів </w:t>
      </w:r>
      <w:r w:rsidRPr="00EE1275">
        <w:rPr>
          <w:rFonts w:ascii="Times New Roman" w:hAnsi="Times New Roman" w:cs="Times New Roman"/>
          <w:sz w:val="28"/>
          <w:szCs w:val="28"/>
          <w:shd w:val="clear" w:color="auto" w:fill="FFFFFF"/>
          <w:lang w:val="uk-UA"/>
        </w:rPr>
        <w:t xml:space="preserve">у сфері </w:t>
      </w:r>
      <w:r w:rsidRPr="00EE1275">
        <w:rPr>
          <w:rFonts w:ascii="Times New Roman" w:hAnsi="Times New Roman" w:cs="Times New Roman"/>
          <w:sz w:val="28"/>
          <w:szCs w:val="28"/>
          <w:lang w:val="uk-UA"/>
        </w:rPr>
        <w:t xml:space="preserve">судоустрою і статусу суддів та відповідні пропозиції. Зокрема, у </w:t>
      </w:r>
      <w:proofErr w:type="spellStart"/>
      <w:r w:rsidRPr="00EE1275">
        <w:rPr>
          <w:rFonts w:ascii="Times New Roman" w:hAnsi="Times New Roman" w:cs="Times New Roman"/>
          <w:sz w:val="28"/>
          <w:szCs w:val="28"/>
          <w:lang w:val="uk-UA"/>
        </w:rPr>
        <w:t>проєкті</w:t>
      </w:r>
      <w:proofErr w:type="spellEnd"/>
      <w:r w:rsidRPr="00EE1275">
        <w:rPr>
          <w:rFonts w:ascii="Times New Roman" w:hAnsi="Times New Roman" w:cs="Times New Roman"/>
          <w:sz w:val="28"/>
          <w:szCs w:val="28"/>
          <w:lang w:val="uk-UA"/>
        </w:rPr>
        <w:t xml:space="preserve"> під заголовками «Очікувані стратегічні результати» передбачено зміну правового регулювання у сфері судоустрою та статусу суддів, а саме: </w:t>
      </w:r>
      <w:r w:rsidRPr="00EE1275">
        <w:rPr>
          <w:rFonts w:ascii="Times New Roman" w:eastAsia="Times New Roman" w:hAnsi="Times New Roman" w:cs="Times New Roman"/>
          <w:sz w:val="28"/>
          <w:szCs w:val="28"/>
          <w:lang w:val="uk-UA"/>
        </w:rPr>
        <w:t xml:space="preserve">оцінювання доброчесності суддів/кандидатів на посаду судді; </w:t>
      </w:r>
      <w:r w:rsidRPr="00EE1275">
        <w:rPr>
          <w:rFonts w:ascii="Times New Roman" w:hAnsi="Times New Roman" w:cs="Times New Roman"/>
          <w:sz w:val="28"/>
          <w:szCs w:val="28"/>
          <w:lang w:val="uk-UA"/>
        </w:rPr>
        <w:t xml:space="preserve">запровадження механізму для перегляду рішень попереднього складу Вищої кваліфікаційної комісії суддів України, за якими Вища рада правосуддя відмовилася звільняти з посади судді, через невмотивованість таких рішень, а також рішень про відповідність судді займаній посаді за наявності інформації про </w:t>
      </w:r>
      <w:proofErr w:type="spellStart"/>
      <w:r w:rsidRPr="00EE1275">
        <w:rPr>
          <w:rFonts w:ascii="Times New Roman" w:hAnsi="Times New Roman" w:cs="Times New Roman"/>
          <w:sz w:val="28"/>
          <w:szCs w:val="28"/>
          <w:lang w:val="uk-UA"/>
        </w:rPr>
        <w:t>недоброчесність</w:t>
      </w:r>
      <w:proofErr w:type="spellEnd"/>
      <w:r w:rsidRPr="00EE1275">
        <w:rPr>
          <w:rFonts w:ascii="Times New Roman" w:hAnsi="Times New Roman" w:cs="Times New Roman"/>
          <w:sz w:val="28"/>
          <w:szCs w:val="28"/>
          <w:lang w:val="uk-UA"/>
        </w:rPr>
        <w:t xml:space="preserve"> судді (наявний негативний висновок Громадської ради доброчесності, окрема думка члена комісії або оцінювання проведено без участі Громадської ради доброчесності); забезпечення перевірки доброчесності кандидатів у межах процедур добору нових суддів із залученням Громадської ради доброчесності та посиленням її інституційної спроможності; ініціативи щодо утворення судів; щодо проведення Вищою кваліфікаційною комісією суддів України процедур оцінювання і конкурсних процедур; запровадження  способів виставлення балів/голосування членами Вищої кваліфікаційної комісії суддів України та Вищої ради правосуддя під час прийняття рішень у процедурах добору та просування суддів (з можливістю встановлення кореляції виставлених кандидатам балів з критеріями оцінювання), а також оприлюднення матеріалів іспитів; щодо порядку формування дисциплінарних палат при Вищій раді правосуддя та порядку розгляду </w:t>
      </w:r>
      <w:r w:rsidRPr="00EE1275">
        <w:rPr>
          <w:rFonts w:ascii="Times New Roman" w:hAnsi="Times New Roman" w:cs="Times New Roman"/>
          <w:sz w:val="28"/>
          <w:szCs w:val="28"/>
          <w:lang w:val="uk-UA"/>
        </w:rPr>
        <w:lastRenderedPageBreak/>
        <w:t>дисциплінарних справ; визначення підстав дисциплінарної відповідальності судді; визначення ознак дисциплінарних правопорушень, які стосуються допущення суддею поведінки, що порочить звання судді або підриває авторитет правосуддя; запровадження дисциплінарного механізму позбавлення статусу суддів у відставці за поведінку, яка є несумісною зі званням судді, допущену як до, так і після звільнення; запровадження додаткових механізмів звільнення суддів з посад; відповідальність суддів за вчинення завідомо неправосудних рішень; впровадження порядку та строку зайняття адміністративних посад в суді; питання підсудності; розширення компетенції суду присяжних у кримінальних провадженнях; розширення сфери застосування альтернативних способів вирішення спорів та виконання їхніх рішень; порядок  касаційного перегляду судових рішень у справах про «високопосадову» корупцію тощо.</w:t>
      </w:r>
    </w:p>
    <w:p w:rsidR="00EE1275" w:rsidRPr="00EE1275" w:rsidRDefault="00EE1275" w:rsidP="00EE1275">
      <w:pPr>
        <w:shd w:val="clear" w:color="auto" w:fill="FFFFFF"/>
        <w:spacing w:line="240" w:lineRule="auto"/>
        <w:ind w:firstLine="448"/>
        <w:jc w:val="both"/>
        <w:rPr>
          <w:rFonts w:ascii="Times New Roman" w:eastAsia="Times New Roman" w:hAnsi="Times New Roman" w:cs="Times New Roman"/>
          <w:sz w:val="28"/>
          <w:szCs w:val="28"/>
          <w:shd w:val="clear" w:color="auto" w:fill="FFFFFF"/>
          <w:lang w:val="uk-UA"/>
        </w:rPr>
      </w:pPr>
      <w:r w:rsidRPr="00EE1275">
        <w:rPr>
          <w:rFonts w:ascii="Times New Roman" w:eastAsia="Times New Roman" w:hAnsi="Times New Roman" w:cs="Times New Roman"/>
          <w:sz w:val="28"/>
          <w:szCs w:val="28"/>
          <w:lang w:val="uk-UA"/>
        </w:rPr>
        <w:t>Водночас у статті 6 Конституції України за</w:t>
      </w:r>
      <w:r w:rsidR="003C7AB7">
        <w:rPr>
          <w:rFonts w:ascii="Times New Roman" w:eastAsia="Times New Roman" w:hAnsi="Times New Roman" w:cs="Times New Roman"/>
          <w:sz w:val="28"/>
          <w:szCs w:val="28"/>
          <w:lang w:val="uk-UA"/>
        </w:rPr>
        <w:t>з</w:t>
      </w:r>
      <w:r w:rsidRPr="00EE1275">
        <w:rPr>
          <w:rFonts w:ascii="Times New Roman" w:eastAsia="Times New Roman" w:hAnsi="Times New Roman" w:cs="Times New Roman"/>
          <w:sz w:val="28"/>
          <w:szCs w:val="28"/>
          <w:lang w:val="uk-UA"/>
        </w:rPr>
        <w:t>начено, що державна влада в Україні здійснюється на засадах її поділу на законодавчу, виконавчу та судову.</w:t>
      </w:r>
      <w:bookmarkStart w:id="2" w:name="n4189"/>
      <w:bookmarkEnd w:id="2"/>
      <w:r w:rsidRPr="00EE1275">
        <w:rPr>
          <w:rFonts w:ascii="Times New Roman" w:eastAsia="Times New Roman" w:hAnsi="Times New Roman" w:cs="Times New Roman"/>
          <w:sz w:val="28"/>
          <w:szCs w:val="28"/>
          <w:lang w:val="uk-UA"/>
        </w:rPr>
        <w:t xml:space="preserve"> Органи законодавчої, виконавчої та судової влади здійснюють свої повноваження у встановлених Конституцією України межах і відповідно до законів України. Статтею 126 Конституції України </w:t>
      </w:r>
      <w:r w:rsidRPr="00EE1275">
        <w:rPr>
          <w:rFonts w:ascii="Times New Roman" w:eastAsia="Times New Roman" w:hAnsi="Times New Roman" w:cs="Times New Roman"/>
          <w:bCs/>
          <w:sz w:val="28"/>
          <w:szCs w:val="28"/>
          <w:shd w:val="clear" w:color="auto" w:fill="FFFFFF"/>
          <w:lang w:val="uk-UA"/>
        </w:rPr>
        <w:t>закріплено,</w:t>
      </w:r>
      <w:r w:rsidRPr="00EE1275">
        <w:rPr>
          <w:rFonts w:ascii="Times New Roman" w:eastAsia="Times New Roman" w:hAnsi="Times New Roman" w:cs="Times New Roman"/>
          <w:b/>
          <w:bCs/>
          <w:sz w:val="28"/>
          <w:szCs w:val="28"/>
          <w:shd w:val="clear" w:color="auto" w:fill="FFFFFF"/>
          <w:lang w:val="uk-UA"/>
        </w:rPr>
        <w:t xml:space="preserve"> </w:t>
      </w:r>
      <w:r w:rsidRPr="00EE1275">
        <w:rPr>
          <w:rFonts w:ascii="Times New Roman" w:eastAsia="Times New Roman" w:hAnsi="Times New Roman" w:cs="Times New Roman"/>
          <w:sz w:val="28"/>
          <w:szCs w:val="28"/>
          <w:shd w:val="clear" w:color="auto" w:fill="FFFFFF"/>
          <w:lang w:val="uk-UA"/>
        </w:rPr>
        <w:t xml:space="preserve"> що незалежність і недоторканність судді гарантуються Конституцією і законами України. </w:t>
      </w:r>
    </w:p>
    <w:p w:rsidR="00EE1275" w:rsidRPr="00EE1275" w:rsidRDefault="00EE1275" w:rsidP="00EE1275">
      <w:pPr>
        <w:shd w:val="clear" w:color="auto" w:fill="FFFFFF"/>
        <w:spacing w:line="240" w:lineRule="auto"/>
        <w:ind w:firstLine="448"/>
        <w:jc w:val="both"/>
        <w:rPr>
          <w:rFonts w:ascii="Times New Roman" w:eastAsia="Times New Roman" w:hAnsi="Times New Roman" w:cs="Times New Roman"/>
          <w:sz w:val="28"/>
          <w:szCs w:val="28"/>
          <w:shd w:val="clear" w:color="auto" w:fill="FFFFFF"/>
          <w:lang w:val="uk-UA"/>
        </w:rPr>
      </w:pPr>
      <w:r w:rsidRPr="00EE1275">
        <w:rPr>
          <w:rFonts w:ascii="Times New Roman" w:eastAsia="Times New Roman" w:hAnsi="Times New Roman" w:cs="Times New Roman"/>
          <w:sz w:val="28"/>
          <w:szCs w:val="28"/>
          <w:shd w:val="clear" w:color="auto" w:fill="FFFFFF"/>
          <w:lang w:val="uk-UA"/>
        </w:rPr>
        <w:t xml:space="preserve">У правовій та демократичній країні органи державної влади мають дотримуватися принципу розподілу влади, який створює взаємний конституційний механізм стримувань та противаг. </w:t>
      </w:r>
    </w:p>
    <w:p w:rsidR="00EE1275" w:rsidRPr="00EE1275" w:rsidRDefault="00EE1275" w:rsidP="00EE1275">
      <w:pPr>
        <w:shd w:val="clear" w:color="auto" w:fill="FFFFFF"/>
        <w:spacing w:line="240" w:lineRule="auto"/>
        <w:ind w:firstLine="448"/>
        <w:jc w:val="both"/>
        <w:rPr>
          <w:rFonts w:ascii="Times New Roman" w:eastAsia="Times New Roman" w:hAnsi="Times New Roman" w:cs="Times New Roman"/>
          <w:sz w:val="28"/>
          <w:szCs w:val="28"/>
          <w:shd w:val="clear" w:color="auto" w:fill="FFFFFF"/>
          <w:lang w:val="uk-UA"/>
        </w:rPr>
      </w:pPr>
      <w:r w:rsidRPr="00EE1275">
        <w:rPr>
          <w:rFonts w:ascii="Times New Roman" w:eastAsia="Times New Roman" w:hAnsi="Times New Roman" w:cs="Times New Roman"/>
          <w:sz w:val="28"/>
          <w:szCs w:val="28"/>
          <w:shd w:val="clear" w:color="auto" w:fill="FFFFFF"/>
          <w:lang w:val="uk-UA"/>
        </w:rPr>
        <w:t>Також відповідно до статті 4 Закону України «Про судоустрій і статус суддів» від 2 червня 2016 року № 1402-</w:t>
      </w:r>
      <w:r w:rsidRPr="00EE1275">
        <w:rPr>
          <w:rFonts w:ascii="Times New Roman" w:eastAsia="Times New Roman" w:hAnsi="Times New Roman" w:cs="Times New Roman"/>
          <w:sz w:val="28"/>
          <w:szCs w:val="28"/>
          <w:shd w:val="clear" w:color="auto" w:fill="FFFFFF"/>
          <w:lang w:val="en-US"/>
        </w:rPr>
        <w:t>VIII</w:t>
      </w:r>
      <w:r w:rsidRPr="00EE1275">
        <w:rPr>
          <w:rFonts w:ascii="Times New Roman" w:eastAsia="Times New Roman" w:hAnsi="Times New Roman" w:cs="Times New Roman"/>
          <w:sz w:val="28"/>
          <w:szCs w:val="28"/>
          <w:shd w:val="clear" w:color="auto" w:fill="FFFFFF"/>
          <w:lang w:val="uk-UA"/>
        </w:rPr>
        <w:t xml:space="preserve"> (далі – Закон № 1402-</w:t>
      </w:r>
      <w:r w:rsidRPr="00EE1275">
        <w:rPr>
          <w:rFonts w:ascii="Times New Roman" w:eastAsia="Times New Roman" w:hAnsi="Times New Roman" w:cs="Times New Roman"/>
          <w:sz w:val="28"/>
          <w:szCs w:val="28"/>
          <w:shd w:val="clear" w:color="auto" w:fill="FFFFFF"/>
          <w:lang w:val="en-US"/>
        </w:rPr>
        <w:t>VIII</w:t>
      </w:r>
      <w:r w:rsidRPr="00EE1275">
        <w:rPr>
          <w:rFonts w:ascii="Times New Roman" w:eastAsia="Times New Roman" w:hAnsi="Times New Roman" w:cs="Times New Roman"/>
          <w:sz w:val="28"/>
          <w:szCs w:val="28"/>
          <w:shd w:val="clear" w:color="auto" w:fill="FFFFFF"/>
          <w:lang w:val="uk-UA"/>
        </w:rPr>
        <w:t>) с</w:t>
      </w:r>
      <w:r w:rsidRPr="00EE1275">
        <w:rPr>
          <w:rFonts w:ascii="Times New Roman" w:eastAsia="Times New Roman" w:hAnsi="Times New Roman" w:cs="Times New Roman"/>
          <w:sz w:val="28"/>
          <w:szCs w:val="28"/>
          <w:lang w:val="uk-UA"/>
        </w:rPr>
        <w:t>удоустрій і статус суддів в Україні визначаються Конституцією та законом</w:t>
      </w:r>
      <w:bookmarkStart w:id="3" w:name="n16"/>
      <w:bookmarkEnd w:id="3"/>
      <w:r w:rsidRPr="00EE1275">
        <w:rPr>
          <w:rFonts w:ascii="Times New Roman" w:eastAsia="Times New Roman" w:hAnsi="Times New Roman" w:cs="Times New Roman"/>
          <w:sz w:val="28"/>
          <w:szCs w:val="28"/>
          <w:lang w:val="uk-UA"/>
        </w:rPr>
        <w:t xml:space="preserve">. Зміни до цього Закону можуть вноситися виключно законами про внесення змін до Закону України «Про судоустрій і статус суддів». Проте чинне законодавство не надає </w:t>
      </w:r>
      <w:r w:rsidR="003C7AB7" w:rsidRPr="00EE1275">
        <w:rPr>
          <w:rFonts w:ascii="Times New Roman" w:eastAsia="Times New Roman" w:hAnsi="Times New Roman" w:cs="Times New Roman"/>
          <w:sz w:val="28"/>
          <w:szCs w:val="28"/>
          <w:lang w:val="uk-UA"/>
        </w:rPr>
        <w:t xml:space="preserve">НАЗК </w:t>
      </w:r>
      <w:r w:rsidRPr="00EE1275">
        <w:rPr>
          <w:rFonts w:ascii="Times New Roman" w:eastAsia="Times New Roman" w:hAnsi="Times New Roman" w:cs="Times New Roman"/>
          <w:sz w:val="28"/>
          <w:szCs w:val="28"/>
          <w:lang w:val="uk-UA"/>
        </w:rPr>
        <w:t xml:space="preserve">повноважень визначати організаційні засади судової влади, щодо зайняття та проходження кар’єри суддею та є виключно предметом правового регулювання Конституції України та спеціального Закону </w:t>
      </w:r>
      <w:r w:rsidRPr="00EE1275">
        <w:rPr>
          <w:rFonts w:ascii="Times New Roman" w:eastAsia="Times New Roman" w:hAnsi="Times New Roman" w:cs="Times New Roman"/>
          <w:sz w:val="28"/>
          <w:szCs w:val="28"/>
          <w:shd w:val="clear" w:color="auto" w:fill="FFFFFF"/>
          <w:lang w:val="uk-UA"/>
        </w:rPr>
        <w:t>№ 1402-</w:t>
      </w:r>
      <w:r w:rsidRPr="00EE1275">
        <w:rPr>
          <w:rFonts w:ascii="Times New Roman" w:eastAsia="Times New Roman" w:hAnsi="Times New Roman" w:cs="Times New Roman"/>
          <w:sz w:val="28"/>
          <w:szCs w:val="28"/>
          <w:shd w:val="clear" w:color="auto" w:fill="FFFFFF"/>
          <w:lang w:val="en-US"/>
        </w:rPr>
        <w:t>VIII</w:t>
      </w:r>
      <w:r w:rsidRPr="00EE1275">
        <w:rPr>
          <w:rFonts w:ascii="Times New Roman" w:eastAsia="Times New Roman" w:hAnsi="Times New Roman" w:cs="Times New Roman"/>
          <w:sz w:val="28"/>
          <w:szCs w:val="28"/>
          <w:shd w:val="clear" w:color="auto" w:fill="FFFFFF"/>
          <w:lang w:val="uk-UA"/>
        </w:rPr>
        <w:t xml:space="preserve">. </w:t>
      </w:r>
    </w:p>
    <w:p w:rsidR="00EE1275" w:rsidRPr="00EE1275" w:rsidRDefault="00EE1275" w:rsidP="00EE1275">
      <w:pPr>
        <w:spacing w:line="240" w:lineRule="auto"/>
        <w:ind w:firstLine="448"/>
        <w:jc w:val="both"/>
        <w:rPr>
          <w:rFonts w:ascii="Times New Roman" w:eastAsia="Times New Roman" w:hAnsi="Times New Roman" w:cs="Times New Roman"/>
          <w:sz w:val="28"/>
          <w:szCs w:val="28"/>
          <w:lang w:val="uk-UA"/>
        </w:rPr>
      </w:pPr>
      <w:r w:rsidRPr="00EE1275">
        <w:rPr>
          <w:rFonts w:ascii="Times New Roman" w:hAnsi="Times New Roman" w:cs="Times New Roman"/>
          <w:sz w:val="28"/>
          <w:szCs w:val="28"/>
          <w:shd w:val="clear" w:color="auto" w:fill="FFFFFF"/>
          <w:lang w:val="uk-UA"/>
        </w:rPr>
        <w:t xml:space="preserve">Зважаючи на викладене, Вища рада правосуддя дійшла висновку, що </w:t>
      </w:r>
      <w:r w:rsidRPr="00EE1275">
        <w:rPr>
          <w:rFonts w:ascii="Times New Roman" w:eastAsia="Times New Roman" w:hAnsi="Times New Roman" w:cs="Times New Roman"/>
          <w:sz w:val="28"/>
          <w:szCs w:val="28"/>
          <w:lang w:val="uk-UA"/>
        </w:rPr>
        <w:t xml:space="preserve">запропоновані </w:t>
      </w:r>
      <w:proofErr w:type="spellStart"/>
      <w:r w:rsidRPr="00EE1275">
        <w:rPr>
          <w:rFonts w:ascii="Times New Roman" w:eastAsia="Times New Roman" w:hAnsi="Times New Roman" w:cs="Times New Roman"/>
          <w:sz w:val="28"/>
          <w:szCs w:val="28"/>
          <w:lang w:val="uk-UA"/>
        </w:rPr>
        <w:t>проєктом</w:t>
      </w:r>
      <w:proofErr w:type="spellEnd"/>
      <w:r w:rsidRPr="00EE1275">
        <w:rPr>
          <w:rFonts w:ascii="Times New Roman" w:eastAsia="Times New Roman" w:hAnsi="Times New Roman" w:cs="Times New Roman"/>
          <w:sz w:val="28"/>
          <w:szCs w:val="28"/>
          <w:lang w:val="uk-UA"/>
        </w:rPr>
        <w:t xml:space="preserve"> Антикорупційної стратегії  положення </w:t>
      </w:r>
      <w:r w:rsidRPr="00EE1275">
        <w:rPr>
          <w:rFonts w:ascii="Times New Roman" w:hAnsi="Times New Roman" w:cs="Times New Roman"/>
          <w:sz w:val="28"/>
          <w:szCs w:val="28"/>
          <w:lang w:val="uk-UA"/>
        </w:rPr>
        <w:t>розділу III</w:t>
      </w:r>
      <w:r w:rsidRPr="00EE1275">
        <w:rPr>
          <w:rFonts w:ascii="Times New Roman" w:eastAsia="Times New Roman" w:hAnsi="Times New Roman" w:cs="Times New Roman"/>
          <w:sz w:val="28"/>
          <w:szCs w:val="28"/>
          <w:lang w:val="uk-UA"/>
        </w:rPr>
        <w:t xml:space="preserve"> стосовно унормування питань судоустрою і статусу суддів не відповідають цілям та завданням діяльності НАЗК, виходять за межі повноважень НАЗК та не можуть бути предметом регулювання Антикорупційної стратегії, а також ставлять під загрозу принцип незалежності судової влади від виконавчої гілки влади, до якої, безсумнівно, належить НАЗК.</w:t>
      </w:r>
    </w:p>
    <w:p w:rsidR="00EE1275" w:rsidRPr="00EE1275" w:rsidRDefault="00EE1275" w:rsidP="00EE1275">
      <w:pPr>
        <w:spacing w:line="240" w:lineRule="auto"/>
        <w:ind w:firstLine="448"/>
        <w:jc w:val="both"/>
        <w:rPr>
          <w:rFonts w:ascii="Times New Roman" w:eastAsia="Times New Roman" w:hAnsi="Times New Roman" w:cs="Times New Roman"/>
          <w:sz w:val="28"/>
          <w:szCs w:val="28"/>
          <w:lang w:val="uk-UA"/>
        </w:rPr>
      </w:pPr>
    </w:p>
    <w:p w:rsidR="00EE1275" w:rsidRPr="00EE1275" w:rsidRDefault="00EE1275" w:rsidP="00EE1275">
      <w:pPr>
        <w:spacing w:line="240" w:lineRule="auto"/>
        <w:ind w:firstLine="567"/>
        <w:jc w:val="both"/>
        <w:rPr>
          <w:rFonts w:ascii="Times New Roman" w:eastAsia="Times New Roman" w:hAnsi="Times New Roman" w:cs="Times New Roman"/>
          <w:sz w:val="28"/>
          <w:szCs w:val="28"/>
          <w:lang w:val="uk-UA"/>
        </w:rPr>
      </w:pPr>
      <w:r w:rsidRPr="00EE1275">
        <w:rPr>
          <w:rFonts w:ascii="Times New Roman" w:eastAsia="Times New Roman" w:hAnsi="Times New Roman" w:cs="Times New Roman"/>
          <w:sz w:val="28"/>
          <w:szCs w:val="28"/>
          <w:lang w:val="uk-UA"/>
        </w:rPr>
        <w:t xml:space="preserve">4. Проаналізувавши </w:t>
      </w:r>
      <w:proofErr w:type="spellStart"/>
      <w:r w:rsidRPr="00EE1275">
        <w:rPr>
          <w:rFonts w:ascii="Times New Roman" w:hAnsi="Times New Roman" w:cs="Times New Roman"/>
          <w:sz w:val="28"/>
          <w:szCs w:val="28"/>
          <w:lang w:val="uk-UA"/>
        </w:rPr>
        <w:t>проєкт</w:t>
      </w:r>
      <w:proofErr w:type="spellEnd"/>
      <w:r w:rsidRPr="00EE1275">
        <w:rPr>
          <w:rFonts w:ascii="Times New Roman" w:hAnsi="Times New Roman" w:cs="Times New Roman"/>
          <w:sz w:val="28"/>
          <w:szCs w:val="28"/>
          <w:lang w:val="uk-UA"/>
        </w:rPr>
        <w:t xml:space="preserve"> </w:t>
      </w:r>
      <w:r w:rsidRPr="00EE1275">
        <w:rPr>
          <w:rFonts w:ascii="Times New Roman" w:hAnsi="Times New Roman" w:cs="Times New Roman"/>
          <w:sz w:val="28"/>
          <w:szCs w:val="28"/>
          <w:shd w:val="clear" w:color="auto" w:fill="FFFFFF"/>
          <w:lang w:val="uk-UA"/>
        </w:rPr>
        <w:t xml:space="preserve">Антикорупційної стратегії,  Вища рада правосуддя вважає, що цей документ не відповідає вимогам нормотворчої техніки, має декларативний характер, містить суперечливі твердження та </w:t>
      </w:r>
      <w:r w:rsidRPr="00EE1275">
        <w:rPr>
          <w:rFonts w:ascii="Times New Roman" w:hAnsi="Times New Roman" w:cs="Times New Roman"/>
          <w:sz w:val="28"/>
          <w:szCs w:val="28"/>
          <w:shd w:val="clear" w:color="auto" w:fill="FFFFFF"/>
          <w:lang w:val="uk-UA"/>
        </w:rPr>
        <w:lastRenderedPageBreak/>
        <w:t xml:space="preserve">непідтверджені положення, у ньому відсутні конкретні механізми реалізації поточного </w:t>
      </w:r>
      <w:proofErr w:type="spellStart"/>
      <w:r w:rsidRPr="00EE1275">
        <w:rPr>
          <w:rFonts w:ascii="Times New Roman" w:hAnsi="Times New Roman" w:cs="Times New Roman"/>
          <w:sz w:val="28"/>
          <w:szCs w:val="28"/>
          <w:shd w:val="clear" w:color="auto" w:fill="FFFFFF"/>
          <w:lang w:val="uk-UA"/>
        </w:rPr>
        <w:t>проєкту</w:t>
      </w:r>
      <w:proofErr w:type="spellEnd"/>
      <w:r w:rsidRPr="00EE1275">
        <w:rPr>
          <w:rFonts w:ascii="Times New Roman" w:hAnsi="Times New Roman" w:cs="Times New Roman"/>
          <w:sz w:val="28"/>
          <w:szCs w:val="28"/>
          <w:shd w:val="clear" w:color="auto" w:fill="FFFFFF"/>
          <w:lang w:val="uk-UA"/>
        </w:rPr>
        <w:t xml:space="preserve"> Антикорупційної стратегії. Крім того</w:t>
      </w:r>
      <w:r w:rsidR="003C7AB7">
        <w:rPr>
          <w:rFonts w:ascii="Times New Roman" w:hAnsi="Times New Roman" w:cs="Times New Roman"/>
          <w:sz w:val="28"/>
          <w:szCs w:val="28"/>
          <w:shd w:val="clear" w:color="auto" w:fill="FFFFFF"/>
          <w:lang w:val="uk-UA"/>
        </w:rPr>
        <w:t>,</w:t>
      </w:r>
      <w:r w:rsidRPr="00EE1275">
        <w:rPr>
          <w:rFonts w:ascii="Times New Roman" w:eastAsia="Times New Roman" w:hAnsi="Times New Roman" w:cs="Times New Roman"/>
          <w:sz w:val="28"/>
          <w:szCs w:val="28"/>
          <w:lang w:val="uk-UA"/>
        </w:rPr>
        <w:t xml:space="preserve"> </w:t>
      </w:r>
      <w:proofErr w:type="spellStart"/>
      <w:r w:rsidRPr="00EE1275">
        <w:rPr>
          <w:rFonts w:ascii="Times New Roman" w:eastAsia="Times New Roman" w:hAnsi="Times New Roman" w:cs="Times New Roman"/>
          <w:sz w:val="28"/>
          <w:szCs w:val="28"/>
          <w:lang w:val="uk-UA"/>
        </w:rPr>
        <w:t>проєкт</w:t>
      </w:r>
      <w:proofErr w:type="spellEnd"/>
      <w:r w:rsidRPr="00EE1275">
        <w:rPr>
          <w:rFonts w:ascii="Times New Roman" w:eastAsia="Times New Roman" w:hAnsi="Times New Roman" w:cs="Times New Roman"/>
          <w:sz w:val="28"/>
          <w:szCs w:val="28"/>
          <w:lang w:val="uk-UA"/>
        </w:rPr>
        <w:t xml:space="preserve"> Антикорупційної стратегії має містити, з-поміж іншого, оцінку результатів та механізму реалізації попередньої Антикорупційної стратегії. Однак всупереч Закону № </w:t>
      </w:r>
      <w:r w:rsidRPr="00EE1275">
        <w:rPr>
          <w:rFonts w:ascii="Times New Roman" w:hAnsi="Times New Roman" w:cs="Times New Roman"/>
          <w:bCs/>
          <w:sz w:val="28"/>
          <w:szCs w:val="28"/>
          <w:shd w:val="clear" w:color="auto" w:fill="FFFFFF"/>
          <w:lang w:val="uk-UA"/>
        </w:rPr>
        <w:t>1700-VII</w:t>
      </w:r>
      <w:r w:rsidRPr="00EE1275" w:rsidDel="004A6758">
        <w:rPr>
          <w:rFonts w:ascii="Times New Roman" w:eastAsia="Times New Roman" w:hAnsi="Times New Roman" w:cs="Times New Roman"/>
          <w:sz w:val="28"/>
          <w:szCs w:val="28"/>
          <w:lang w:val="uk-UA"/>
        </w:rPr>
        <w:t xml:space="preserve"> </w:t>
      </w:r>
      <w:r w:rsidRPr="00EE1275">
        <w:rPr>
          <w:rFonts w:ascii="Times New Roman" w:eastAsia="Times New Roman" w:hAnsi="Times New Roman" w:cs="Times New Roman"/>
          <w:sz w:val="28"/>
          <w:szCs w:val="28"/>
          <w:lang w:val="uk-UA"/>
        </w:rPr>
        <w:t xml:space="preserve"> НАЗК не наведено такої оцінки. </w:t>
      </w:r>
    </w:p>
    <w:p w:rsidR="00EE1275" w:rsidRPr="00EE1275" w:rsidRDefault="00EE1275" w:rsidP="00EE1275">
      <w:pPr>
        <w:spacing w:line="240" w:lineRule="auto"/>
        <w:ind w:firstLine="708"/>
        <w:jc w:val="both"/>
        <w:rPr>
          <w:rFonts w:ascii="Times New Roman" w:hAnsi="Times New Roman" w:cs="Times New Roman"/>
          <w:sz w:val="28"/>
          <w:szCs w:val="28"/>
          <w:shd w:val="clear" w:color="auto" w:fill="FFFFFF"/>
          <w:lang w:val="uk-UA"/>
        </w:rPr>
      </w:pPr>
      <w:r w:rsidRPr="00EE1275">
        <w:rPr>
          <w:rFonts w:ascii="Times New Roman" w:eastAsia="Times New Roman" w:hAnsi="Times New Roman" w:cs="Times New Roman"/>
          <w:sz w:val="28"/>
          <w:szCs w:val="28"/>
          <w:lang w:val="uk-UA"/>
        </w:rPr>
        <w:t xml:space="preserve">Також для оцінки результатів та механізму реалізації попередньої Антикорупційної стратегії НАЗК наділене необхідними повноваженнями </w:t>
      </w:r>
      <w:r w:rsidR="003C7AB7">
        <w:rPr>
          <w:rFonts w:ascii="Times New Roman" w:eastAsia="Times New Roman" w:hAnsi="Times New Roman" w:cs="Times New Roman"/>
          <w:sz w:val="28"/>
          <w:szCs w:val="28"/>
          <w:lang w:val="uk-UA"/>
        </w:rPr>
        <w:t>(</w:t>
      </w:r>
      <w:r w:rsidRPr="00EE1275">
        <w:rPr>
          <w:rFonts w:ascii="Times New Roman" w:eastAsia="Times New Roman" w:hAnsi="Times New Roman" w:cs="Times New Roman"/>
          <w:sz w:val="28"/>
          <w:szCs w:val="28"/>
          <w:lang w:val="uk-UA"/>
        </w:rPr>
        <w:t>отримувати необхідну інформацію від усіх державних органів та органів місцевого самоврядування, організовувати проведення досліджень з питань вивчення ситуації щодо корупції</w:t>
      </w:r>
      <w:r w:rsidR="003C7AB7">
        <w:rPr>
          <w:rFonts w:ascii="Times New Roman" w:eastAsia="Times New Roman" w:hAnsi="Times New Roman" w:cs="Times New Roman"/>
          <w:sz w:val="28"/>
          <w:szCs w:val="28"/>
          <w:lang w:val="uk-UA"/>
        </w:rPr>
        <w:t>)</w:t>
      </w:r>
      <w:r w:rsidRPr="00EE1275">
        <w:rPr>
          <w:rFonts w:ascii="Times New Roman" w:eastAsia="Times New Roman" w:hAnsi="Times New Roman" w:cs="Times New Roman"/>
          <w:sz w:val="28"/>
          <w:szCs w:val="28"/>
          <w:lang w:val="uk-UA"/>
        </w:rPr>
        <w:t xml:space="preserve"> та, відповідно, спроможне, оскільки підготувало </w:t>
      </w:r>
      <w:proofErr w:type="spellStart"/>
      <w:r w:rsidRPr="00EE1275">
        <w:rPr>
          <w:rFonts w:ascii="Times New Roman" w:hAnsi="Times New Roman" w:cs="Times New Roman"/>
          <w:sz w:val="28"/>
          <w:szCs w:val="28"/>
          <w:lang w:val="uk-UA"/>
        </w:rPr>
        <w:t>проєкт</w:t>
      </w:r>
      <w:proofErr w:type="spellEnd"/>
      <w:r w:rsidRPr="00EE1275">
        <w:rPr>
          <w:rFonts w:ascii="Times New Roman" w:hAnsi="Times New Roman" w:cs="Times New Roman"/>
          <w:sz w:val="28"/>
          <w:szCs w:val="28"/>
          <w:lang w:val="uk-UA"/>
        </w:rPr>
        <w:t xml:space="preserve"> </w:t>
      </w:r>
      <w:r w:rsidRPr="00EE1275">
        <w:rPr>
          <w:rFonts w:ascii="Times New Roman" w:hAnsi="Times New Roman" w:cs="Times New Roman"/>
          <w:sz w:val="28"/>
          <w:szCs w:val="28"/>
          <w:shd w:val="clear" w:color="auto" w:fill="FFFFFF"/>
          <w:lang w:val="uk-UA"/>
        </w:rPr>
        <w:t xml:space="preserve">Антикорупційної стратегії, який є предметом дослідження. </w:t>
      </w:r>
    </w:p>
    <w:p w:rsidR="00EE1275" w:rsidRPr="00EE1275" w:rsidRDefault="00EE1275" w:rsidP="00EE1275">
      <w:pPr>
        <w:spacing w:line="240" w:lineRule="auto"/>
        <w:ind w:firstLine="708"/>
        <w:jc w:val="both"/>
        <w:rPr>
          <w:rFonts w:ascii="Times New Roman" w:hAnsi="Times New Roman" w:cs="Times New Roman"/>
          <w:sz w:val="28"/>
          <w:szCs w:val="28"/>
          <w:lang w:val="uk-UA"/>
        </w:rPr>
      </w:pPr>
      <w:r w:rsidRPr="00EE1275">
        <w:rPr>
          <w:rFonts w:ascii="Times New Roman" w:hAnsi="Times New Roman" w:cs="Times New Roman"/>
          <w:sz w:val="28"/>
          <w:szCs w:val="28"/>
          <w:shd w:val="clear" w:color="auto" w:fill="FFFFFF"/>
          <w:lang w:val="uk-UA"/>
        </w:rPr>
        <w:t xml:space="preserve">Вища рада правосуддя відзначає, що </w:t>
      </w:r>
      <w:r w:rsidRPr="00EE1275">
        <w:rPr>
          <w:rFonts w:ascii="Times New Roman" w:eastAsia="Times New Roman" w:hAnsi="Times New Roman" w:cs="Times New Roman"/>
          <w:sz w:val="28"/>
          <w:szCs w:val="28"/>
          <w:lang w:val="uk-UA"/>
        </w:rPr>
        <w:t xml:space="preserve">в чинному антикорупційному законодавстві закладено достатньо механізмів перевірки та контролю суб’єктів декларування, зокрема суддів, членів Вищої ради правосуддя, Вищої кваліфікаційної комісії суддів України та Ради суддів України, як і суддів Конституційного Суду України, а також працівників суду. Кандидати в судді та члени органів суддівського врядування та самоврядування проходять спеціальну перевірку, судді та члени органів системи правосуддя подають чотири типи декларацій суб’єкта декларування: щорічна декларація, декларація зміни майнового стану відповідно до вимог Закону № </w:t>
      </w:r>
      <w:r w:rsidRPr="00EE1275">
        <w:rPr>
          <w:rFonts w:ascii="Times New Roman" w:eastAsia="Times New Roman" w:hAnsi="Times New Roman" w:cs="Times New Roman"/>
          <w:bCs/>
          <w:sz w:val="28"/>
          <w:szCs w:val="28"/>
          <w:lang w:val="uk-UA"/>
        </w:rPr>
        <w:t>1700-VII</w:t>
      </w:r>
      <w:r w:rsidRPr="00EE1275">
        <w:rPr>
          <w:rFonts w:ascii="Times New Roman" w:eastAsia="Times New Roman" w:hAnsi="Times New Roman" w:cs="Times New Roman"/>
          <w:sz w:val="28"/>
          <w:szCs w:val="28"/>
          <w:lang w:val="uk-UA"/>
        </w:rPr>
        <w:t xml:space="preserve">, а згідно із Законом </w:t>
      </w:r>
      <w:r w:rsidRPr="00EE1275">
        <w:rPr>
          <w:rFonts w:ascii="Times New Roman" w:hAnsi="Times New Roman" w:cs="Times New Roman"/>
          <w:sz w:val="28"/>
          <w:szCs w:val="28"/>
          <w:shd w:val="clear" w:color="auto" w:fill="FFFFFF"/>
          <w:lang w:val="uk-UA"/>
        </w:rPr>
        <w:t>1402-</w:t>
      </w:r>
      <w:r w:rsidRPr="00EE1275">
        <w:rPr>
          <w:rFonts w:ascii="Times New Roman" w:hAnsi="Times New Roman" w:cs="Times New Roman"/>
          <w:sz w:val="28"/>
          <w:szCs w:val="28"/>
          <w:shd w:val="clear" w:color="auto" w:fill="FFFFFF"/>
          <w:lang w:val="en-US"/>
        </w:rPr>
        <w:t>VIII</w:t>
      </w:r>
      <w:r w:rsidRPr="00EE1275">
        <w:rPr>
          <w:rFonts w:ascii="Times New Roman" w:eastAsia="Times New Roman" w:hAnsi="Times New Roman" w:cs="Times New Roman"/>
          <w:sz w:val="28"/>
          <w:szCs w:val="28"/>
          <w:lang w:val="uk-UA"/>
        </w:rPr>
        <w:t xml:space="preserve"> щорічно подають декларацію доброчесності судді та декларацію родинних зв’язків судді. Останні декларації містять перелік тверджень, правдивість яких суддя повинен задекларувати шляхом їх підтвердження або </w:t>
      </w:r>
      <w:proofErr w:type="spellStart"/>
      <w:r w:rsidRPr="00EE1275">
        <w:rPr>
          <w:rFonts w:ascii="Times New Roman" w:eastAsia="Times New Roman" w:hAnsi="Times New Roman" w:cs="Times New Roman"/>
          <w:sz w:val="28"/>
          <w:szCs w:val="28"/>
          <w:lang w:val="uk-UA"/>
        </w:rPr>
        <w:t>непідтвердження</w:t>
      </w:r>
      <w:proofErr w:type="spellEnd"/>
      <w:r w:rsidRPr="00EE1275">
        <w:rPr>
          <w:rFonts w:ascii="Times New Roman" w:eastAsia="Times New Roman" w:hAnsi="Times New Roman" w:cs="Times New Roman"/>
          <w:sz w:val="28"/>
          <w:szCs w:val="28"/>
          <w:lang w:val="uk-UA"/>
        </w:rPr>
        <w:t xml:space="preserve">. Такі декларації є відкритими для загального доступу, а тому немає підстави зазначати у </w:t>
      </w:r>
      <w:proofErr w:type="spellStart"/>
      <w:r w:rsidRPr="00EE1275">
        <w:rPr>
          <w:rFonts w:ascii="Times New Roman" w:eastAsia="Times New Roman" w:hAnsi="Times New Roman" w:cs="Times New Roman"/>
          <w:sz w:val="28"/>
          <w:szCs w:val="28"/>
          <w:lang w:val="uk-UA"/>
        </w:rPr>
        <w:t>проєкті</w:t>
      </w:r>
      <w:proofErr w:type="spellEnd"/>
      <w:r w:rsidRPr="00EE1275">
        <w:rPr>
          <w:rFonts w:ascii="Times New Roman" w:eastAsia="Times New Roman" w:hAnsi="Times New Roman" w:cs="Times New Roman"/>
          <w:sz w:val="28"/>
          <w:szCs w:val="28"/>
          <w:lang w:val="uk-UA"/>
        </w:rPr>
        <w:t xml:space="preserve"> Антикорупційної стратегії про непрозорість діяльності суддів та членів органів суддівського врядування</w:t>
      </w:r>
      <w:r w:rsidRPr="00EE1275">
        <w:rPr>
          <w:rFonts w:ascii="Times New Roman" w:hAnsi="Times New Roman" w:cs="Times New Roman"/>
          <w:sz w:val="28"/>
          <w:szCs w:val="28"/>
          <w:lang w:val="uk-UA"/>
        </w:rPr>
        <w:t>.</w:t>
      </w:r>
    </w:p>
    <w:p w:rsidR="00EE1275" w:rsidRPr="00EE1275" w:rsidRDefault="00EE1275" w:rsidP="00EE1275">
      <w:pPr>
        <w:spacing w:line="240" w:lineRule="auto"/>
        <w:ind w:firstLine="566"/>
        <w:jc w:val="both"/>
        <w:rPr>
          <w:rFonts w:ascii="Times New Roman" w:hAnsi="Times New Roman" w:cs="Times New Roman"/>
          <w:sz w:val="28"/>
          <w:szCs w:val="28"/>
          <w:shd w:val="clear" w:color="auto" w:fill="FFFFFF"/>
          <w:lang w:val="uk-UA"/>
        </w:rPr>
      </w:pPr>
      <w:r w:rsidRPr="00EE1275">
        <w:rPr>
          <w:rFonts w:ascii="Times New Roman" w:hAnsi="Times New Roman" w:cs="Times New Roman"/>
          <w:sz w:val="28"/>
          <w:szCs w:val="28"/>
          <w:shd w:val="clear" w:color="auto" w:fill="FFFFFF"/>
          <w:lang w:val="uk-UA"/>
        </w:rPr>
        <w:t>Протягом останніх років здійснено значні законодавчі та практичні заходи для реформування судової влади, посилення контролю за діяльністю суддів та членів органів суддівського врядування, забезпечення їх звітності, доброчесної поведінки та усунення корупційних ризиків у судочинстві.</w:t>
      </w:r>
    </w:p>
    <w:p w:rsidR="00EE1275" w:rsidRPr="00EE1275" w:rsidRDefault="00EE1275" w:rsidP="00EE1275">
      <w:pPr>
        <w:spacing w:line="240" w:lineRule="auto"/>
        <w:ind w:firstLine="567"/>
        <w:jc w:val="both"/>
        <w:rPr>
          <w:rFonts w:ascii="Times New Roman" w:hAnsi="Times New Roman" w:cs="Times New Roman"/>
          <w:sz w:val="28"/>
          <w:szCs w:val="28"/>
          <w:shd w:val="clear" w:color="auto" w:fill="FFFFFF"/>
          <w:lang w:val="uk-UA"/>
        </w:rPr>
      </w:pPr>
      <w:r w:rsidRPr="00EE1275">
        <w:rPr>
          <w:rFonts w:ascii="Times New Roman" w:hAnsi="Times New Roman" w:cs="Times New Roman"/>
          <w:sz w:val="28"/>
          <w:szCs w:val="28"/>
          <w:shd w:val="clear" w:color="auto" w:fill="FFFFFF"/>
          <w:lang w:val="uk-UA"/>
        </w:rPr>
        <w:t>Усунення корупційних ризиків у судочинстві є, без сумніву, пріоритетними завданнями у діяльності не лише антикорупційних органів, а й судової влади.</w:t>
      </w:r>
    </w:p>
    <w:p w:rsidR="00EE1275" w:rsidRPr="00EE1275" w:rsidRDefault="00EE1275" w:rsidP="00EE1275">
      <w:pPr>
        <w:spacing w:line="240" w:lineRule="auto"/>
        <w:ind w:firstLine="567"/>
        <w:jc w:val="both"/>
        <w:rPr>
          <w:rFonts w:ascii="Times New Roman" w:hAnsi="Times New Roman" w:cs="Times New Roman"/>
          <w:sz w:val="28"/>
          <w:szCs w:val="28"/>
          <w:lang w:val="uk-UA"/>
        </w:rPr>
      </w:pPr>
      <w:r w:rsidRPr="00EE1275">
        <w:rPr>
          <w:rFonts w:ascii="Times New Roman" w:hAnsi="Times New Roman" w:cs="Times New Roman"/>
          <w:sz w:val="28"/>
          <w:szCs w:val="28"/>
          <w:shd w:val="clear" w:color="auto" w:fill="FFFFFF"/>
          <w:lang w:val="uk-UA"/>
        </w:rPr>
        <w:t xml:space="preserve">Із цією метою Вища рада правосуддя неодноразово пропонувала  суб’єктам законодавчої ініціативи </w:t>
      </w:r>
      <w:r w:rsidRPr="00EE1275">
        <w:rPr>
          <w:rFonts w:ascii="Times New Roman" w:hAnsi="Times New Roman" w:cs="Times New Roman"/>
          <w:sz w:val="28"/>
          <w:szCs w:val="28"/>
          <w:lang w:val="uk-UA"/>
        </w:rPr>
        <w:t>виключити множинність державних установ</w:t>
      </w:r>
      <w:r w:rsidR="00EE3A2D">
        <w:rPr>
          <w:rFonts w:ascii="Times New Roman" w:hAnsi="Times New Roman" w:cs="Times New Roman"/>
          <w:sz w:val="28"/>
          <w:szCs w:val="28"/>
          <w:lang w:val="uk-UA"/>
        </w:rPr>
        <w:t>,</w:t>
      </w:r>
      <w:r w:rsidRPr="00EE1275">
        <w:rPr>
          <w:rFonts w:ascii="Times New Roman" w:hAnsi="Times New Roman" w:cs="Times New Roman"/>
          <w:sz w:val="28"/>
          <w:szCs w:val="28"/>
          <w:lang w:val="uk-UA"/>
        </w:rPr>
        <w:t xml:space="preserve"> які оцінюють суддів, та встановити, що оцінювання суддів має здійснюватися, передусім, на основі заздалегідь визначених єдиних і об’єктивних критеріїв, які стосуються їхньої повсякденної роботи; більш чітко визначити зміст дисциплінарних правопорушень, які стосуються поведінки суддів (зокрема таких, як «поведінка, що ганьбить звання судді або підриває авторитет правосуддя», «дотримання інших норм суддівської етики та стандартів поведінки, які забезпечують суспільну довіру до </w:t>
      </w:r>
      <w:r w:rsidRPr="00EE1275">
        <w:rPr>
          <w:rFonts w:ascii="Times New Roman" w:hAnsi="Times New Roman" w:cs="Times New Roman"/>
          <w:sz w:val="28"/>
          <w:szCs w:val="28"/>
          <w:lang w:val="uk-UA"/>
        </w:rPr>
        <w:lastRenderedPageBreak/>
        <w:t xml:space="preserve">суду»), для забезпечення усталеного та прогнозованого процесу прийняття рішень і попередження можливих зловживань дисциплінарними провадженнями; запровадити необхідні обмеження та заходи контролю за їх додержанням щодо неформальних стосунків між учасниками судових проваджень, зокрема суддями, адвокатами, слідчими та прокурорами; запровадити спеціалізоване регулярне навчання всіх суддів з питань етики та доброчесності, попередження конфліктів інтересів і корупції, </w:t>
      </w:r>
      <w:r w:rsidR="00EE3A2D">
        <w:rPr>
          <w:rFonts w:ascii="Times New Roman" w:hAnsi="Times New Roman" w:cs="Times New Roman"/>
          <w:sz w:val="28"/>
          <w:szCs w:val="28"/>
          <w:lang w:val="uk-UA"/>
        </w:rPr>
        <w:t>і</w:t>
      </w:r>
      <w:r w:rsidRPr="00EE1275">
        <w:rPr>
          <w:rFonts w:ascii="Times New Roman" w:hAnsi="Times New Roman" w:cs="Times New Roman"/>
          <w:sz w:val="28"/>
          <w:szCs w:val="28"/>
          <w:lang w:val="uk-UA"/>
        </w:rPr>
        <w:t>з включенням результатів навчань до регулярного оцінювання суддів, а також визначити уповноважені органи суддівського самоврядування, що здійснюють таке навчання;  розробити та впровадити практичні заходи для ефективного забезпечення безпеки суддів усіх юрисдикцій.</w:t>
      </w:r>
    </w:p>
    <w:p w:rsidR="00EE1275" w:rsidRPr="00EE1275" w:rsidRDefault="00EE1275" w:rsidP="00EE1275">
      <w:pPr>
        <w:spacing w:line="240" w:lineRule="auto"/>
        <w:ind w:firstLine="567"/>
        <w:jc w:val="both"/>
        <w:rPr>
          <w:rFonts w:ascii="Times New Roman" w:hAnsi="Times New Roman" w:cs="Times New Roman"/>
          <w:sz w:val="28"/>
          <w:szCs w:val="28"/>
          <w:lang w:val="uk-UA"/>
        </w:rPr>
      </w:pPr>
      <w:r w:rsidRPr="00EE1275">
        <w:rPr>
          <w:rFonts w:ascii="Times New Roman" w:hAnsi="Times New Roman" w:cs="Times New Roman"/>
          <w:sz w:val="28"/>
          <w:szCs w:val="28"/>
          <w:lang w:val="uk-UA"/>
        </w:rPr>
        <w:t xml:space="preserve">Крім того, Вища рада правосуддя у Щорічній доповіді про стан забезпечення незалежності суддів в Україні за 2019 рік, яка позитивно оцінена експертами Ради Європи, констатувала ситуацію щодо безпрецедентного тиску на судову владу у 2019 році шляхом подання на розгляд Верховної Ради України низки </w:t>
      </w:r>
      <w:proofErr w:type="spellStart"/>
      <w:r w:rsidRPr="00EE1275">
        <w:rPr>
          <w:rFonts w:ascii="Times New Roman" w:hAnsi="Times New Roman" w:cs="Times New Roman"/>
          <w:sz w:val="28"/>
          <w:szCs w:val="28"/>
          <w:lang w:val="uk-UA"/>
        </w:rPr>
        <w:t>законопроєктів</w:t>
      </w:r>
      <w:proofErr w:type="spellEnd"/>
      <w:r w:rsidRPr="00EE1275">
        <w:rPr>
          <w:rFonts w:ascii="Times New Roman" w:hAnsi="Times New Roman" w:cs="Times New Roman"/>
          <w:sz w:val="28"/>
          <w:szCs w:val="28"/>
          <w:lang w:val="uk-UA"/>
        </w:rPr>
        <w:t>, що загрожують незалежності судової влади України</w:t>
      </w:r>
      <w:r w:rsidRPr="00EE1275">
        <w:rPr>
          <w:rFonts w:ascii="Times New Roman" w:hAnsi="Times New Roman" w:cs="Times New Roman"/>
          <w:sz w:val="28"/>
          <w:szCs w:val="28"/>
          <w:vertAlign w:val="superscript"/>
          <w:lang w:val="uk-UA"/>
        </w:rPr>
        <w:footnoteReference w:id="1"/>
      </w:r>
      <w:r w:rsidRPr="00EE1275">
        <w:rPr>
          <w:rFonts w:ascii="Times New Roman" w:hAnsi="Times New Roman" w:cs="Times New Roman"/>
          <w:sz w:val="28"/>
          <w:szCs w:val="28"/>
          <w:lang w:val="uk-UA"/>
        </w:rPr>
        <w:t>.</w:t>
      </w:r>
    </w:p>
    <w:p w:rsidR="00EE1275" w:rsidRPr="00EE1275" w:rsidRDefault="00EE1275" w:rsidP="00EE1275">
      <w:pPr>
        <w:spacing w:line="240" w:lineRule="auto"/>
        <w:ind w:firstLine="567"/>
        <w:jc w:val="both"/>
        <w:rPr>
          <w:rFonts w:ascii="Times New Roman" w:hAnsi="Times New Roman" w:cs="Times New Roman"/>
          <w:sz w:val="28"/>
          <w:szCs w:val="28"/>
          <w:lang w:val="uk-UA"/>
        </w:rPr>
      </w:pPr>
      <w:r w:rsidRPr="00EE1275">
        <w:rPr>
          <w:rFonts w:ascii="Times New Roman" w:hAnsi="Times New Roman" w:cs="Times New Roman"/>
          <w:sz w:val="28"/>
          <w:szCs w:val="28"/>
          <w:lang w:val="uk-UA"/>
        </w:rPr>
        <w:t>За результатами четвертого раунду оцінювання Група держав проти корупції (GRECO) у місті Страсбурзі на 76-му пленарному засіданні затвердила Оціночний звіт щодо України, в якому зазначила про необхідність більш чіткого формулювання визначення дисциплінарних правопорушень, які стосуються поведінки суддів. Зокрема, рекомендовано замінити фразу «норми суддівської етики та стандарти поведінки, які забезпечують суспільну довіру до суду»</w:t>
      </w:r>
      <w:r w:rsidR="00EE3A2D">
        <w:rPr>
          <w:rFonts w:ascii="Times New Roman" w:hAnsi="Times New Roman" w:cs="Times New Roman"/>
          <w:sz w:val="28"/>
          <w:szCs w:val="28"/>
          <w:lang w:val="uk-UA"/>
        </w:rPr>
        <w:t>,</w:t>
      </w:r>
      <w:r w:rsidRPr="00EE1275">
        <w:rPr>
          <w:rFonts w:ascii="Times New Roman" w:hAnsi="Times New Roman" w:cs="Times New Roman"/>
          <w:sz w:val="28"/>
          <w:szCs w:val="28"/>
          <w:lang w:val="uk-UA"/>
        </w:rPr>
        <w:t xml:space="preserve"> більш чітким і конкретним формулюванням відповідного правопорушення</w:t>
      </w:r>
      <w:r w:rsidRPr="00EE1275">
        <w:rPr>
          <w:rFonts w:ascii="Times New Roman" w:hAnsi="Times New Roman" w:cs="Times New Roman"/>
          <w:sz w:val="28"/>
          <w:szCs w:val="28"/>
          <w:vertAlign w:val="superscript"/>
          <w:lang w:val="uk-UA"/>
        </w:rPr>
        <w:footnoteReference w:id="2"/>
      </w:r>
      <w:r w:rsidRPr="00EE1275">
        <w:rPr>
          <w:rFonts w:ascii="Times New Roman" w:hAnsi="Times New Roman" w:cs="Times New Roman"/>
          <w:sz w:val="28"/>
          <w:szCs w:val="28"/>
          <w:lang w:val="uk-UA"/>
        </w:rPr>
        <w:t xml:space="preserve">. </w:t>
      </w:r>
      <w:r w:rsidRPr="00EE1275">
        <w:rPr>
          <w:rFonts w:ascii="Times New Roman" w:hAnsi="Times New Roman" w:cs="Times New Roman"/>
          <w:sz w:val="28"/>
          <w:szCs w:val="28"/>
          <w:lang w:val="uk-UA"/>
        </w:rPr>
        <w:tab/>
      </w:r>
    </w:p>
    <w:p w:rsidR="00EE1275" w:rsidRPr="00EE1275" w:rsidRDefault="00EE1275" w:rsidP="00EE1275">
      <w:pPr>
        <w:spacing w:line="240" w:lineRule="auto"/>
        <w:ind w:firstLine="567"/>
        <w:jc w:val="both"/>
        <w:rPr>
          <w:rFonts w:ascii="Times New Roman" w:hAnsi="Times New Roman" w:cs="Times New Roman"/>
          <w:bCs/>
          <w:sz w:val="28"/>
          <w:szCs w:val="28"/>
          <w:shd w:val="clear" w:color="auto" w:fill="FFFFFF"/>
          <w:lang w:val="uk-UA"/>
        </w:rPr>
      </w:pPr>
      <w:r w:rsidRPr="00EE1275">
        <w:rPr>
          <w:rFonts w:ascii="Times New Roman" w:hAnsi="Times New Roman" w:cs="Times New Roman"/>
          <w:sz w:val="28"/>
          <w:szCs w:val="28"/>
          <w:lang w:val="uk-UA"/>
        </w:rPr>
        <w:t xml:space="preserve">Однак досліджуваний </w:t>
      </w:r>
      <w:proofErr w:type="spellStart"/>
      <w:r w:rsidRPr="00EE1275">
        <w:rPr>
          <w:rFonts w:ascii="Times New Roman" w:hAnsi="Times New Roman" w:cs="Times New Roman"/>
          <w:sz w:val="28"/>
          <w:szCs w:val="28"/>
          <w:lang w:val="uk-UA"/>
        </w:rPr>
        <w:t>проєкт</w:t>
      </w:r>
      <w:proofErr w:type="spellEnd"/>
      <w:r w:rsidRPr="00EE1275">
        <w:rPr>
          <w:rFonts w:ascii="Times New Roman" w:hAnsi="Times New Roman" w:cs="Times New Roman"/>
          <w:sz w:val="28"/>
          <w:szCs w:val="28"/>
          <w:lang w:val="uk-UA"/>
        </w:rPr>
        <w:t xml:space="preserve"> Антикорупційної стратегії не відповідає вказаним рекомендаціям і не передбачає жодних заходів для виправлення ситуації, </w:t>
      </w:r>
      <w:r w:rsidR="00EE3A2D">
        <w:rPr>
          <w:rFonts w:ascii="Times New Roman" w:hAnsi="Times New Roman" w:cs="Times New Roman"/>
          <w:sz w:val="28"/>
          <w:szCs w:val="28"/>
          <w:lang w:val="uk-UA"/>
        </w:rPr>
        <w:t>про</w:t>
      </w:r>
      <w:r w:rsidRPr="00EE1275">
        <w:rPr>
          <w:rFonts w:ascii="Times New Roman" w:hAnsi="Times New Roman" w:cs="Times New Roman"/>
          <w:sz w:val="28"/>
          <w:szCs w:val="28"/>
          <w:lang w:val="uk-UA"/>
        </w:rPr>
        <w:t xml:space="preserve"> яку вказано у зазначених вище документах, що ставить під загрозу виконання міжнародних зобов’язань України та обов’язок забезпечення кожному права на справедливий суд у розумінні статті 6 Конвенції </w:t>
      </w:r>
      <w:r w:rsidRPr="00EE1275">
        <w:rPr>
          <w:rFonts w:ascii="Times New Roman" w:hAnsi="Times New Roman" w:cs="Times New Roman"/>
          <w:bCs/>
          <w:sz w:val="28"/>
          <w:szCs w:val="28"/>
          <w:shd w:val="clear" w:color="auto" w:fill="FFFFFF"/>
          <w:lang w:val="uk-UA"/>
        </w:rPr>
        <w:t xml:space="preserve">про захист прав людини і основоположних свобод 1950 року. </w:t>
      </w:r>
    </w:p>
    <w:p w:rsidR="00EE1275" w:rsidRPr="00EE1275" w:rsidRDefault="00EE1275" w:rsidP="00EE1275">
      <w:pPr>
        <w:shd w:val="clear" w:color="auto" w:fill="F9F9F9"/>
        <w:spacing w:line="315" w:lineRule="atLeast"/>
        <w:jc w:val="both"/>
        <w:textAlignment w:val="baseline"/>
        <w:rPr>
          <w:rFonts w:ascii="Times New Roman" w:eastAsia="Times New Roman" w:hAnsi="Times New Roman" w:cs="Times New Roman"/>
          <w:sz w:val="28"/>
          <w:szCs w:val="28"/>
          <w:shd w:val="clear" w:color="auto" w:fill="F9F9F9"/>
          <w:lang w:val="uk-UA"/>
        </w:rPr>
      </w:pPr>
      <w:r w:rsidRPr="00EE1275">
        <w:rPr>
          <w:rFonts w:ascii="Times New Roman" w:eastAsia="Times New Roman" w:hAnsi="Times New Roman" w:cs="Times New Roman"/>
          <w:sz w:val="28"/>
          <w:szCs w:val="28"/>
          <w:lang w:val="uk-UA"/>
        </w:rPr>
        <w:t>Зважаючи на викладене, Вища рада правосуддя вважає за необхідне за</w:t>
      </w:r>
      <w:r w:rsidR="005A5179">
        <w:rPr>
          <w:rFonts w:ascii="Times New Roman" w:eastAsia="Times New Roman" w:hAnsi="Times New Roman" w:cs="Times New Roman"/>
          <w:sz w:val="28"/>
          <w:szCs w:val="28"/>
          <w:lang w:val="uk-UA"/>
        </w:rPr>
        <w:t>з</w:t>
      </w:r>
      <w:r w:rsidRPr="00EE1275">
        <w:rPr>
          <w:rFonts w:ascii="Times New Roman" w:eastAsia="Times New Roman" w:hAnsi="Times New Roman" w:cs="Times New Roman"/>
          <w:sz w:val="28"/>
          <w:szCs w:val="28"/>
          <w:lang w:val="uk-UA"/>
        </w:rPr>
        <w:t xml:space="preserve">начити, що </w:t>
      </w:r>
      <w:proofErr w:type="spellStart"/>
      <w:r w:rsidRPr="00EE1275">
        <w:rPr>
          <w:rFonts w:ascii="Times New Roman" w:eastAsia="Times New Roman" w:hAnsi="Times New Roman" w:cs="Times New Roman"/>
          <w:sz w:val="28"/>
          <w:szCs w:val="28"/>
          <w:lang w:val="uk-UA"/>
        </w:rPr>
        <w:t>проєкт</w:t>
      </w:r>
      <w:proofErr w:type="spellEnd"/>
      <w:r w:rsidRPr="00EE1275">
        <w:rPr>
          <w:rFonts w:ascii="Times New Roman" w:eastAsia="Times New Roman" w:hAnsi="Times New Roman" w:cs="Times New Roman"/>
          <w:sz w:val="28"/>
          <w:szCs w:val="28"/>
          <w:lang w:val="uk-UA"/>
        </w:rPr>
        <w:t xml:space="preserve"> Антикорупційної стратегії як </w:t>
      </w:r>
      <w:proofErr w:type="spellStart"/>
      <w:r w:rsidRPr="00EE1275">
        <w:rPr>
          <w:rFonts w:ascii="Times New Roman" w:eastAsia="Times New Roman" w:hAnsi="Times New Roman" w:cs="Times New Roman"/>
          <w:sz w:val="28"/>
          <w:szCs w:val="28"/>
          <w:lang w:val="uk-UA"/>
        </w:rPr>
        <w:t>проєкт</w:t>
      </w:r>
      <w:proofErr w:type="spellEnd"/>
      <w:r w:rsidRPr="00EE1275">
        <w:rPr>
          <w:rFonts w:ascii="Times New Roman" w:eastAsia="Times New Roman" w:hAnsi="Times New Roman" w:cs="Times New Roman"/>
          <w:sz w:val="28"/>
          <w:szCs w:val="28"/>
          <w:lang w:val="uk-UA"/>
        </w:rPr>
        <w:t xml:space="preserve"> нормативного акта має відповідати загальним вимогам до </w:t>
      </w:r>
      <w:proofErr w:type="spellStart"/>
      <w:r w:rsidRPr="00EE1275">
        <w:rPr>
          <w:rFonts w:ascii="Times New Roman" w:eastAsia="Times New Roman" w:hAnsi="Times New Roman" w:cs="Times New Roman"/>
          <w:sz w:val="28"/>
          <w:szCs w:val="28"/>
          <w:lang w:val="uk-UA"/>
        </w:rPr>
        <w:t>проєктів</w:t>
      </w:r>
      <w:proofErr w:type="spellEnd"/>
      <w:r w:rsidRPr="00EE1275">
        <w:rPr>
          <w:rFonts w:ascii="Times New Roman" w:eastAsia="Times New Roman" w:hAnsi="Times New Roman" w:cs="Times New Roman"/>
          <w:sz w:val="28"/>
          <w:szCs w:val="28"/>
          <w:lang w:val="uk-UA"/>
        </w:rPr>
        <w:t xml:space="preserve"> нормативних актів: бути чітким, узгодженим та обґрунтованим, таким, що не породжує сумнівів у конституційності та відповідає принципам розподілу влади та незалежності судової влади, а також оскільки цей </w:t>
      </w:r>
      <w:proofErr w:type="spellStart"/>
      <w:r w:rsidRPr="00EE1275">
        <w:rPr>
          <w:rFonts w:ascii="Times New Roman" w:eastAsia="Times New Roman" w:hAnsi="Times New Roman" w:cs="Times New Roman"/>
          <w:sz w:val="28"/>
          <w:szCs w:val="28"/>
          <w:lang w:val="uk-UA"/>
        </w:rPr>
        <w:t>проєкт</w:t>
      </w:r>
      <w:proofErr w:type="spellEnd"/>
      <w:r w:rsidRPr="00EE1275">
        <w:rPr>
          <w:rFonts w:ascii="Times New Roman" w:eastAsia="Times New Roman" w:hAnsi="Times New Roman" w:cs="Times New Roman"/>
          <w:sz w:val="28"/>
          <w:szCs w:val="28"/>
          <w:lang w:val="uk-UA"/>
        </w:rPr>
        <w:t xml:space="preserve"> передбачає суттєві зміни статусу суддів, органів суддівського врядування, відповідно потребує широкого обговорення у суддівських та професійних колах, що, зокрема, за</w:t>
      </w:r>
      <w:r w:rsidR="00EE3A2D">
        <w:rPr>
          <w:rFonts w:ascii="Times New Roman" w:eastAsia="Times New Roman" w:hAnsi="Times New Roman" w:cs="Times New Roman"/>
          <w:sz w:val="28"/>
          <w:szCs w:val="28"/>
          <w:lang w:val="uk-UA"/>
        </w:rPr>
        <w:t>з</w:t>
      </w:r>
      <w:r w:rsidRPr="00EE1275">
        <w:rPr>
          <w:rFonts w:ascii="Times New Roman" w:eastAsia="Times New Roman" w:hAnsi="Times New Roman" w:cs="Times New Roman"/>
          <w:sz w:val="28"/>
          <w:szCs w:val="28"/>
          <w:lang w:val="uk-UA"/>
        </w:rPr>
        <w:t>начено у</w:t>
      </w:r>
      <w:r w:rsidR="00EE3A2D">
        <w:rPr>
          <w:rFonts w:ascii="Times New Roman" w:eastAsia="Times New Roman" w:hAnsi="Times New Roman" w:cs="Times New Roman"/>
          <w:sz w:val="28"/>
          <w:szCs w:val="28"/>
          <w:lang w:val="uk-UA"/>
        </w:rPr>
        <w:t xml:space="preserve"> </w:t>
      </w:r>
      <w:r w:rsidRPr="00EE1275">
        <w:rPr>
          <w:rFonts w:ascii="Times New Roman" w:eastAsia="Times New Roman" w:hAnsi="Times New Roman" w:cs="Times New Roman"/>
          <w:sz w:val="28"/>
          <w:szCs w:val="28"/>
          <w:lang w:val="uk-UA"/>
        </w:rPr>
        <w:t>пункті 9 Висновку Венеційської комісії:</w:t>
      </w:r>
      <w:r w:rsidR="00EE3A2D">
        <w:rPr>
          <w:rFonts w:ascii="Times New Roman" w:eastAsia="Times New Roman" w:hAnsi="Times New Roman" w:cs="Times New Roman"/>
          <w:sz w:val="28"/>
          <w:szCs w:val="28"/>
          <w:lang w:val="uk-UA"/>
        </w:rPr>
        <w:t xml:space="preserve"> </w:t>
      </w:r>
      <w:r w:rsidRPr="00EE1275">
        <w:rPr>
          <w:rFonts w:ascii="Times New Roman" w:eastAsia="Times New Roman" w:hAnsi="Times New Roman" w:cs="Times New Roman"/>
          <w:sz w:val="28"/>
          <w:szCs w:val="28"/>
          <w:lang w:val="uk-UA"/>
        </w:rPr>
        <w:t>«</w:t>
      </w:r>
      <w:r w:rsidRPr="00EE1275">
        <w:rPr>
          <w:rFonts w:ascii="Times New Roman" w:eastAsia="Times New Roman" w:hAnsi="Times New Roman" w:cs="Times New Roman"/>
          <w:sz w:val="28"/>
          <w:szCs w:val="28"/>
          <w:shd w:val="clear" w:color="auto" w:fill="F9F9F9"/>
          <w:lang w:val="uk-UA"/>
        </w:rPr>
        <w:t xml:space="preserve">Реформи фундаментальних державних інститутів, наприклад, судової влади, слід </w:t>
      </w:r>
      <w:r w:rsidRPr="00EE1275">
        <w:rPr>
          <w:rFonts w:ascii="Times New Roman" w:eastAsia="Times New Roman" w:hAnsi="Times New Roman" w:cs="Times New Roman"/>
          <w:sz w:val="28"/>
          <w:szCs w:val="28"/>
          <w:shd w:val="clear" w:color="auto" w:fill="F9F9F9"/>
          <w:lang w:val="uk-UA"/>
        </w:rPr>
        <w:lastRenderedPageBreak/>
        <w:t>проводити лише після належного аналізу поточної ситуації та можливого впливу нового законодавства, що свідчить про необхідність запропонованих змін. Вони повинні бути прийняті після консультацій з основними зацікавленими сторонами на основі принципів прозорості та всеосяжності, і їх внесок має бути важливим для підготовки збалансованого та ефективного законодавства у цих галузях</w:t>
      </w:r>
      <w:r w:rsidRPr="00EE1275">
        <w:rPr>
          <w:rFonts w:ascii="Times New Roman" w:eastAsia="Times New Roman" w:hAnsi="Times New Roman" w:cs="Times New Roman"/>
          <w:sz w:val="28"/>
          <w:szCs w:val="28"/>
          <w:lang w:val="uk-UA"/>
        </w:rPr>
        <w:t>»</w:t>
      </w:r>
      <w:r w:rsidRPr="00EE3A2D">
        <w:rPr>
          <w:rFonts w:ascii="Times New Roman" w:eastAsia="Times New Roman" w:hAnsi="Times New Roman" w:cs="Times New Roman"/>
          <w:sz w:val="28"/>
          <w:szCs w:val="28"/>
          <w:vertAlign w:val="superscript"/>
          <w:lang w:val="uk-UA"/>
        </w:rPr>
        <w:footnoteReference w:id="3"/>
      </w:r>
      <w:r w:rsidRPr="00EE1275">
        <w:rPr>
          <w:rFonts w:ascii="Times New Roman" w:eastAsia="Times New Roman" w:hAnsi="Times New Roman" w:cs="Times New Roman"/>
          <w:sz w:val="28"/>
          <w:szCs w:val="28"/>
          <w:shd w:val="clear" w:color="auto" w:fill="F9F9F9"/>
          <w:lang w:val="uk-UA"/>
        </w:rPr>
        <w:t>.</w:t>
      </w:r>
    </w:p>
    <w:p w:rsidR="00EE1275" w:rsidRPr="00EE1275" w:rsidRDefault="00EE1275" w:rsidP="00EE1275">
      <w:pPr>
        <w:shd w:val="clear" w:color="auto" w:fill="F9F9F9"/>
        <w:spacing w:line="315" w:lineRule="atLeast"/>
        <w:jc w:val="both"/>
        <w:textAlignment w:val="baseline"/>
        <w:rPr>
          <w:rFonts w:ascii="Times New Roman" w:eastAsia="Times New Roman" w:hAnsi="Times New Roman" w:cs="Times New Roman"/>
          <w:sz w:val="28"/>
          <w:szCs w:val="28"/>
          <w:lang w:val="uk-UA"/>
        </w:rPr>
      </w:pPr>
      <w:r w:rsidRPr="00EE1275">
        <w:rPr>
          <w:rFonts w:ascii="Times New Roman" w:eastAsia="Times New Roman" w:hAnsi="Times New Roman" w:cs="Times New Roman"/>
          <w:sz w:val="28"/>
          <w:szCs w:val="28"/>
          <w:shd w:val="clear" w:color="auto" w:fill="F9F9F9"/>
          <w:lang w:val="uk-UA"/>
        </w:rPr>
        <w:t xml:space="preserve">Вища рада правосуддя вважає за необхідне невідкладно розпочати широке обговорення </w:t>
      </w:r>
      <w:proofErr w:type="spellStart"/>
      <w:r w:rsidRPr="00EE1275">
        <w:rPr>
          <w:rFonts w:ascii="Times New Roman" w:eastAsia="Times New Roman" w:hAnsi="Times New Roman" w:cs="Times New Roman"/>
          <w:sz w:val="28"/>
          <w:szCs w:val="28"/>
          <w:lang w:val="uk-UA"/>
        </w:rPr>
        <w:t>проєкту</w:t>
      </w:r>
      <w:proofErr w:type="spellEnd"/>
      <w:r w:rsidRPr="00EE1275">
        <w:rPr>
          <w:rFonts w:ascii="Times New Roman" w:eastAsia="Times New Roman" w:hAnsi="Times New Roman" w:cs="Times New Roman"/>
          <w:sz w:val="28"/>
          <w:szCs w:val="28"/>
          <w:lang w:val="uk-UA"/>
        </w:rPr>
        <w:t xml:space="preserve"> Антикорупційної стратегії серед суддівської та професійної спільноти. </w:t>
      </w:r>
      <w:r w:rsidRPr="00EE1275">
        <w:rPr>
          <w:rFonts w:ascii="Times New Roman" w:eastAsia="Times New Roman" w:hAnsi="Times New Roman" w:cs="Times New Roman"/>
          <w:sz w:val="28"/>
          <w:szCs w:val="28"/>
          <w:shd w:val="clear" w:color="auto" w:fill="F9F9F9"/>
          <w:lang w:val="uk-UA"/>
        </w:rPr>
        <w:t xml:space="preserve"> </w:t>
      </w:r>
    </w:p>
    <w:p w:rsidR="00EE1275" w:rsidRPr="00EE1275" w:rsidRDefault="00EE1275" w:rsidP="00EE1275">
      <w:pPr>
        <w:spacing w:line="240" w:lineRule="auto"/>
        <w:ind w:firstLine="567"/>
        <w:jc w:val="both"/>
        <w:rPr>
          <w:rFonts w:ascii="Times New Roman" w:hAnsi="Times New Roman" w:cs="Times New Roman"/>
          <w:sz w:val="28"/>
          <w:szCs w:val="28"/>
          <w:lang w:val="uk-UA"/>
        </w:rPr>
      </w:pPr>
    </w:p>
    <w:p w:rsidR="00EE1275" w:rsidRPr="00EE1275" w:rsidRDefault="00EE1275" w:rsidP="00EE1275">
      <w:pPr>
        <w:spacing w:line="240" w:lineRule="auto"/>
        <w:ind w:firstLine="448"/>
        <w:jc w:val="both"/>
        <w:rPr>
          <w:rFonts w:ascii="Times New Roman" w:eastAsia="Times New Roman" w:hAnsi="Times New Roman" w:cs="Times New Roman"/>
          <w:sz w:val="28"/>
          <w:szCs w:val="28"/>
          <w:lang w:val="uk-UA"/>
        </w:rPr>
      </w:pPr>
    </w:p>
    <w:p w:rsidR="00EE1275" w:rsidRPr="00EE1275" w:rsidRDefault="00EE1275" w:rsidP="00EE1275">
      <w:pPr>
        <w:shd w:val="clear" w:color="auto" w:fill="FFFFFF"/>
        <w:spacing w:line="240" w:lineRule="auto"/>
        <w:ind w:firstLine="567"/>
        <w:jc w:val="both"/>
        <w:rPr>
          <w:rFonts w:ascii="Times New Roman" w:hAnsi="Times New Roman" w:cs="Times New Roman"/>
          <w:sz w:val="28"/>
          <w:szCs w:val="28"/>
          <w:lang w:val="uk-UA"/>
        </w:rPr>
      </w:pPr>
      <w:r w:rsidRPr="00EE1275">
        <w:rPr>
          <w:rFonts w:ascii="Times New Roman" w:hAnsi="Times New Roman" w:cs="Times New Roman"/>
          <w:sz w:val="28"/>
          <w:szCs w:val="28"/>
          <w:shd w:val="clear" w:color="auto" w:fill="FFFFFF"/>
          <w:lang w:val="uk-UA"/>
        </w:rPr>
        <w:t xml:space="preserve">     </w:t>
      </w:r>
    </w:p>
    <w:p w:rsidR="00EE1275" w:rsidRPr="00EE1275" w:rsidRDefault="00EE1275" w:rsidP="00EE1275">
      <w:pPr>
        <w:spacing w:line="240" w:lineRule="auto"/>
        <w:ind w:firstLine="567"/>
        <w:jc w:val="both"/>
        <w:rPr>
          <w:rFonts w:ascii="Times New Roman" w:hAnsi="Times New Roman" w:cs="Times New Roman"/>
          <w:sz w:val="28"/>
          <w:szCs w:val="28"/>
          <w:lang w:val="uk-UA"/>
        </w:rPr>
      </w:pPr>
    </w:p>
    <w:p w:rsidR="00602283" w:rsidRPr="00602283"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bookmarkStart w:id="4" w:name="_GoBack"/>
      <w:bookmarkEnd w:id="4"/>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p w:rsidR="00602283" w:rsidRPr="00EE1275" w:rsidRDefault="00602283" w:rsidP="00351759">
      <w:pPr>
        <w:tabs>
          <w:tab w:val="left" w:pos="4678"/>
        </w:tabs>
        <w:spacing w:line="240" w:lineRule="auto"/>
        <w:ind w:right="139"/>
        <w:rPr>
          <w:rFonts w:ascii="Times New Roman" w:eastAsia="Times New Roman" w:hAnsi="Times New Roman" w:cs="Times New Roman"/>
          <w:sz w:val="28"/>
          <w:szCs w:val="28"/>
          <w:lang w:val="uk-UA"/>
        </w:rPr>
      </w:pPr>
    </w:p>
    <w:sectPr w:rsidR="00602283" w:rsidRPr="00EE1275" w:rsidSect="002A10BE">
      <w:pgSz w:w="11909" w:h="16834"/>
      <w:pgMar w:top="1440" w:right="1440" w:bottom="709"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763" w:rsidRDefault="00BA4763" w:rsidP="00442C48">
      <w:pPr>
        <w:spacing w:line="240" w:lineRule="auto"/>
      </w:pPr>
      <w:r>
        <w:separator/>
      </w:r>
    </w:p>
  </w:endnote>
  <w:endnote w:type="continuationSeparator" w:id="0">
    <w:p w:rsidR="00BA4763" w:rsidRDefault="00BA4763" w:rsidP="00442C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
    <w:panose1 w:val="000000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763" w:rsidRDefault="00BA4763" w:rsidP="00442C48">
      <w:pPr>
        <w:spacing w:line="240" w:lineRule="auto"/>
      </w:pPr>
      <w:r>
        <w:separator/>
      </w:r>
    </w:p>
  </w:footnote>
  <w:footnote w:type="continuationSeparator" w:id="0">
    <w:p w:rsidR="00BA4763" w:rsidRDefault="00BA4763" w:rsidP="00442C48">
      <w:pPr>
        <w:spacing w:line="240" w:lineRule="auto"/>
      </w:pPr>
      <w:r>
        <w:continuationSeparator/>
      </w:r>
    </w:p>
  </w:footnote>
  <w:footnote w:id="1">
    <w:p w:rsidR="00EE1275" w:rsidRPr="00312B2B" w:rsidRDefault="00EE1275" w:rsidP="00EE1275">
      <w:pPr>
        <w:pStyle w:val="a6"/>
        <w:jc w:val="both"/>
        <w:rPr>
          <w:rFonts w:ascii="Times New Roman" w:hAnsi="Times New Roman" w:cs="Times New Roman"/>
        </w:rPr>
      </w:pPr>
      <w:r>
        <w:rPr>
          <w:rStyle w:val="a8"/>
        </w:rPr>
        <w:footnoteRef/>
      </w:r>
      <w:r>
        <w:t xml:space="preserve"> </w:t>
      </w:r>
      <w:r w:rsidRPr="00312B2B">
        <w:rPr>
          <w:rFonts w:ascii="Times New Roman" w:hAnsi="Times New Roman" w:cs="Times New Roman"/>
        </w:rPr>
        <w:t xml:space="preserve">Щорічна доповідь за 2019 рік про стан забезпечення незалежності суддів в Україні, </w:t>
      </w:r>
      <w:hyperlink r:id="rId1" w:history="1">
        <w:r w:rsidRPr="00312B2B">
          <w:rPr>
            <w:rStyle w:val="a9"/>
            <w:rFonts w:ascii="Times New Roman" w:hAnsi="Times New Roman" w:cs="Times New Roman"/>
          </w:rPr>
          <w:t>https://hcj.gov.ua/sites/default/files/field/file/shchorichna_dopovid_za_2019_rik.pdf</w:t>
        </w:r>
      </w:hyperlink>
    </w:p>
  </w:footnote>
  <w:footnote w:id="2">
    <w:p w:rsidR="00EE1275" w:rsidRPr="00312B2B" w:rsidRDefault="00EE1275" w:rsidP="00EE1275">
      <w:pPr>
        <w:pStyle w:val="a6"/>
        <w:jc w:val="both"/>
        <w:rPr>
          <w:rFonts w:ascii="Times New Roman" w:hAnsi="Times New Roman" w:cs="Times New Roman"/>
        </w:rPr>
      </w:pPr>
      <w:r w:rsidRPr="00312B2B">
        <w:rPr>
          <w:rStyle w:val="a8"/>
          <w:rFonts w:ascii="Times New Roman" w:hAnsi="Times New Roman" w:cs="Times New Roman"/>
        </w:rPr>
        <w:footnoteRef/>
      </w:r>
      <w:r w:rsidRPr="00312B2B">
        <w:rPr>
          <w:rFonts w:ascii="Times New Roman" w:hAnsi="Times New Roman" w:cs="Times New Roman"/>
        </w:rPr>
        <w:t xml:space="preserve"> Четвертий раунд оцінювання. Запобігання корупції серед народних депутатів, суддів та прокурорів https://rm.coe.int/grecoeval4rep-2016-9-p3-76-greco-19-23-2017-/1680737206</w:t>
      </w:r>
    </w:p>
  </w:footnote>
  <w:footnote w:id="3">
    <w:p w:rsidR="00EE1275" w:rsidRPr="00312B2B" w:rsidRDefault="00EE1275" w:rsidP="00EE1275">
      <w:pPr>
        <w:pStyle w:val="a6"/>
        <w:jc w:val="both"/>
        <w:rPr>
          <w:rFonts w:ascii="Times New Roman" w:hAnsi="Times New Roman" w:cs="Times New Roman"/>
        </w:rPr>
      </w:pPr>
      <w:r w:rsidRPr="00312B2B">
        <w:rPr>
          <w:rStyle w:val="a8"/>
          <w:rFonts w:ascii="Times New Roman" w:hAnsi="Times New Roman" w:cs="Times New Roman"/>
        </w:rPr>
        <w:footnoteRef/>
      </w:r>
      <w:r w:rsidRPr="00312B2B">
        <w:rPr>
          <w:rFonts w:ascii="Times New Roman" w:hAnsi="Times New Roman" w:cs="Times New Roman"/>
        </w:rPr>
        <w:t xml:space="preserve"> Доповідь Європейської комісії «За демократію через право», Україна, Висновок щодо змін до законодавчих актів, які регулюють статус Верховного Суду та органів суддівськ</w:t>
      </w:r>
      <w:r w:rsidR="00EE3A2D">
        <w:rPr>
          <w:rFonts w:ascii="Times New Roman" w:hAnsi="Times New Roman" w:cs="Times New Roman"/>
        </w:rPr>
        <w:t>ого врядування. Прийнято Венецій</w:t>
      </w:r>
      <w:r w:rsidRPr="00312B2B">
        <w:rPr>
          <w:rFonts w:ascii="Times New Roman" w:hAnsi="Times New Roman" w:cs="Times New Roman"/>
        </w:rPr>
        <w:t>ською комісією на її 121-му пленарному засіданні (Венеція, 6-7 грудня 2019 р</w:t>
      </w:r>
      <w:r w:rsidR="00EE3A2D">
        <w:rPr>
          <w:rFonts w:ascii="Times New Roman" w:hAnsi="Times New Roman" w:cs="Times New Roman"/>
        </w:rPr>
        <w:t>оку</w:t>
      </w:r>
      <w:r w:rsidRPr="00312B2B">
        <w:rPr>
          <w:rFonts w:ascii="Times New Roman" w:hAnsi="Times New Roman" w:cs="Times New Roman"/>
        </w:rPr>
        <w:t>) https://www.echr.com.ua/document/visnovok-shhodo-zmin-do-zakonodavchix-aktiv-yaki-regulyuyut-status-verxovnogo-sudu-ta-organiv-suddivskogo-vryaduvannya/</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F0ECF"/>
    <w:rsid w:val="0009379C"/>
    <w:rsid w:val="002A10BE"/>
    <w:rsid w:val="002A66FA"/>
    <w:rsid w:val="00312B2B"/>
    <w:rsid w:val="00351759"/>
    <w:rsid w:val="003A4D11"/>
    <w:rsid w:val="003C7AB7"/>
    <w:rsid w:val="00442C48"/>
    <w:rsid w:val="005A5179"/>
    <w:rsid w:val="005A5D9B"/>
    <w:rsid w:val="005F0ECF"/>
    <w:rsid w:val="00602283"/>
    <w:rsid w:val="00614046"/>
    <w:rsid w:val="00637283"/>
    <w:rsid w:val="00657255"/>
    <w:rsid w:val="00701F1B"/>
    <w:rsid w:val="00956748"/>
    <w:rsid w:val="00A84722"/>
    <w:rsid w:val="00B918B5"/>
    <w:rsid w:val="00BA4763"/>
    <w:rsid w:val="00C676A1"/>
    <w:rsid w:val="00C86DA4"/>
    <w:rsid w:val="00D412AB"/>
    <w:rsid w:val="00DA4696"/>
    <w:rsid w:val="00EE1275"/>
    <w:rsid w:val="00EE3A2D"/>
    <w:rsid w:val="00EE3F49"/>
    <w:rsid w:val="00EE7B9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A4D11"/>
  </w:style>
  <w:style w:type="paragraph" w:styleId="1">
    <w:name w:val="heading 1"/>
    <w:basedOn w:val="a"/>
    <w:next w:val="a"/>
    <w:rsid w:val="003A4D11"/>
    <w:pPr>
      <w:keepNext/>
      <w:keepLines/>
      <w:spacing w:before="400" w:after="120"/>
      <w:outlineLvl w:val="0"/>
    </w:pPr>
    <w:rPr>
      <w:sz w:val="40"/>
      <w:szCs w:val="40"/>
    </w:rPr>
  </w:style>
  <w:style w:type="paragraph" w:styleId="2">
    <w:name w:val="heading 2"/>
    <w:basedOn w:val="a"/>
    <w:next w:val="a"/>
    <w:rsid w:val="003A4D11"/>
    <w:pPr>
      <w:keepNext/>
      <w:keepLines/>
      <w:spacing w:before="360" w:after="120"/>
      <w:outlineLvl w:val="1"/>
    </w:pPr>
    <w:rPr>
      <w:sz w:val="32"/>
      <w:szCs w:val="32"/>
    </w:rPr>
  </w:style>
  <w:style w:type="paragraph" w:styleId="3">
    <w:name w:val="heading 3"/>
    <w:basedOn w:val="a"/>
    <w:next w:val="a"/>
    <w:rsid w:val="003A4D11"/>
    <w:pPr>
      <w:keepNext/>
      <w:keepLines/>
      <w:spacing w:before="320" w:after="80"/>
      <w:outlineLvl w:val="2"/>
    </w:pPr>
    <w:rPr>
      <w:color w:val="434343"/>
      <w:sz w:val="28"/>
      <w:szCs w:val="28"/>
    </w:rPr>
  </w:style>
  <w:style w:type="paragraph" w:styleId="4">
    <w:name w:val="heading 4"/>
    <w:basedOn w:val="a"/>
    <w:next w:val="a"/>
    <w:rsid w:val="003A4D11"/>
    <w:pPr>
      <w:keepNext/>
      <w:keepLines/>
      <w:spacing w:before="280" w:after="80"/>
      <w:outlineLvl w:val="3"/>
    </w:pPr>
    <w:rPr>
      <w:color w:val="666666"/>
      <w:sz w:val="24"/>
      <w:szCs w:val="24"/>
    </w:rPr>
  </w:style>
  <w:style w:type="paragraph" w:styleId="5">
    <w:name w:val="heading 5"/>
    <w:basedOn w:val="a"/>
    <w:next w:val="a"/>
    <w:rsid w:val="003A4D11"/>
    <w:pPr>
      <w:keepNext/>
      <w:keepLines/>
      <w:spacing w:before="240" w:after="80"/>
      <w:outlineLvl w:val="4"/>
    </w:pPr>
    <w:rPr>
      <w:color w:val="666666"/>
    </w:rPr>
  </w:style>
  <w:style w:type="paragraph" w:styleId="6">
    <w:name w:val="heading 6"/>
    <w:basedOn w:val="a"/>
    <w:next w:val="a"/>
    <w:rsid w:val="003A4D11"/>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A4D11"/>
    <w:tblPr>
      <w:tblCellMar>
        <w:top w:w="0" w:type="dxa"/>
        <w:left w:w="0" w:type="dxa"/>
        <w:bottom w:w="0" w:type="dxa"/>
        <w:right w:w="0" w:type="dxa"/>
      </w:tblCellMar>
    </w:tblPr>
  </w:style>
  <w:style w:type="paragraph" w:styleId="a3">
    <w:name w:val="Title"/>
    <w:basedOn w:val="a"/>
    <w:next w:val="a"/>
    <w:rsid w:val="003A4D11"/>
    <w:pPr>
      <w:keepNext/>
      <w:keepLines/>
      <w:spacing w:after="60"/>
    </w:pPr>
    <w:rPr>
      <w:sz w:val="52"/>
      <w:szCs w:val="52"/>
    </w:rPr>
  </w:style>
  <w:style w:type="paragraph" w:styleId="a4">
    <w:name w:val="Subtitle"/>
    <w:basedOn w:val="a"/>
    <w:next w:val="a"/>
    <w:rsid w:val="003A4D11"/>
    <w:pPr>
      <w:keepNext/>
      <w:keepLines/>
      <w:spacing w:after="320"/>
    </w:pPr>
    <w:rPr>
      <w:color w:val="666666"/>
      <w:sz w:val="30"/>
      <w:szCs w:val="30"/>
    </w:rPr>
  </w:style>
  <w:style w:type="table" w:customStyle="1" w:styleId="a5">
    <w:basedOn w:val="TableNormal"/>
    <w:rsid w:val="003A4D11"/>
    <w:tblPr>
      <w:tblStyleRowBandSize w:val="1"/>
      <w:tblStyleColBandSize w:val="1"/>
      <w:tblCellMar>
        <w:top w:w="0" w:type="dxa"/>
        <w:left w:w="108" w:type="dxa"/>
        <w:bottom w:w="0" w:type="dxa"/>
        <w:right w:w="108" w:type="dxa"/>
      </w:tblCellMar>
    </w:tblPr>
  </w:style>
  <w:style w:type="paragraph" w:customStyle="1" w:styleId="10">
    <w:name w:val="Звичайний1"/>
    <w:rsid w:val="00442C48"/>
    <w:rPr>
      <w:lang w:val="uk-UA"/>
    </w:rPr>
  </w:style>
  <w:style w:type="paragraph" w:styleId="a6">
    <w:name w:val="footnote text"/>
    <w:basedOn w:val="a"/>
    <w:link w:val="a7"/>
    <w:uiPriority w:val="99"/>
    <w:semiHidden/>
    <w:unhideWhenUsed/>
    <w:rsid w:val="00442C48"/>
    <w:pPr>
      <w:spacing w:line="240" w:lineRule="auto"/>
    </w:pPr>
    <w:rPr>
      <w:sz w:val="20"/>
      <w:szCs w:val="20"/>
      <w:lang w:val="uk-UA"/>
    </w:rPr>
  </w:style>
  <w:style w:type="character" w:customStyle="1" w:styleId="a7">
    <w:name w:val="Текст сноски Знак"/>
    <w:basedOn w:val="a0"/>
    <w:link w:val="a6"/>
    <w:uiPriority w:val="99"/>
    <w:semiHidden/>
    <w:rsid w:val="00442C48"/>
    <w:rPr>
      <w:sz w:val="20"/>
      <w:szCs w:val="20"/>
      <w:lang w:val="uk-UA"/>
    </w:rPr>
  </w:style>
  <w:style w:type="character" w:styleId="a8">
    <w:name w:val="footnote reference"/>
    <w:basedOn w:val="a0"/>
    <w:uiPriority w:val="99"/>
    <w:unhideWhenUsed/>
    <w:rsid w:val="00442C48"/>
    <w:rPr>
      <w:vertAlign w:val="superscript"/>
    </w:rPr>
  </w:style>
  <w:style w:type="character" w:styleId="a9">
    <w:name w:val="Hyperlink"/>
    <w:uiPriority w:val="99"/>
    <w:unhideWhenUsed/>
    <w:rsid w:val="00EE1275"/>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hcj.gov.ua/sites/default/files/field/file/shchorichna_dopovid_za_2019_ri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0AFF4-FFAD-42B4-BEC8-D5EF0F597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11951</Words>
  <Characters>6813</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 Бардаченко (VRU-GAMEMAX2-03 - l.bardachenko)</cp:lastModifiedBy>
  <cp:revision>34</cp:revision>
  <dcterms:created xsi:type="dcterms:W3CDTF">2020-06-30T05:14:00Z</dcterms:created>
  <dcterms:modified xsi:type="dcterms:W3CDTF">2020-07-10T19:23:00Z</dcterms:modified>
</cp:coreProperties>
</file>